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288"/>
        <w:jc w:val="center"/>
        <w:rPr>
          <w:rFonts w:ascii="Arial" w:hAnsi="Arial" w:cs="Arial"/>
          <w:b/>
          <w:b/>
          <w:bCs/>
          <w:color w:val="000000" w:themeColor="text1"/>
          <w:sz w:val="20"/>
          <w:szCs w:val="20"/>
        </w:rPr>
      </w:pPr>
      <w:r>
        <w:rPr>
          <w:rFonts w:cs="Arial" w:ascii="Arial" w:hAnsi="Arial"/>
          <w:b/>
          <w:bCs/>
          <w:color w:val="000000" w:themeColor="text1"/>
          <w:sz w:val="20"/>
          <w:szCs w:val="20"/>
        </w:rPr>
        <w:t>MODELO DE TERMO DE CONTRATO</w:t>
        <w:br/>
        <w:t>Lei nº 14.133, de 1º de abril de 2021</w:t>
        <w:br/>
        <w:t>SERVIÇOS – LICITAÇÃO</w:t>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76" w:before="114" w:after="114"/>
        <w:ind w:firstLine="709"/>
        <w:jc w:val="center"/>
        <w:rPr>
          <w:i w:val="false"/>
          <w:i w:val="false"/>
          <w:iCs w:val="false"/>
          <w:color w:val="auto"/>
        </w:rPr>
      </w:pPr>
      <w:r>
        <w:rPr>
          <w:rFonts w:cs="Arial" w:ascii="Arial" w:hAnsi="Arial"/>
          <w:b/>
          <w:bCs/>
          <w:i w:val="false"/>
          <w:iCs w:val="false"/>
          <w:color w:val="auto"/>
          <w:sz w:val="20"/>
          <w:szCs w:val="20"/>
        </w:rPr>
        <w:t>MINISTÉRIO DA EDUCAÇÃO</w:t>
      </w:r>
    </w:p>
    <w:p>
      <w:pPr>
        <w:pStyle w:val="Normal"/>
        <w:spacing w:lineRule="auto" w:line="276" w:before="114" w:after="114"/>
        <w:ind w:firstLine="709"/>
        <w:jc w:val="center"/>
        <w:rPr>
          <w:b w:val="false"/>
          <w:b w:val="false"/>
          <w:bCs w:val="false"/>
          <w:i w:val="false"/>
          <w:i w:val="false"/>
          <w:iCs w:val="false"/>
          <w:color w:val="auto"/>
        </w:rPr>
      </w:pPr>
      <w:r>
        <w:rPr>
          <w:rFonts w:cs="Arial" w:ascii="Arial" w:hAnsi="Arial"/>
          <w:b w:val="false"/>
          <w:bCs w:val="false"/>
          <w:i w:val="false"/>
          <w:iCs w:val="false"/>
          <w:color w:val="auto"/>
          <w:sz w:val="20"/>
          <w:szCs w:val="20"/>
        </w:rPr>
        <w:t>INSTITUTO FEDERAL DE EDUCAÇÃO, CIÊNCIA E TECNOLOGIA DO ESPÍRITO SANTO</w:t>
      </w:r>
    </w:p>
    <w:p>
      <w:pPr>
        <w:pStyle w:val="Normal"/>
        <w:spacing w:lineRule="auto" w:line="276" w:before="114" w:after="114"/>
        <w:ind w:firstLine="709"/>
        <w:jc w:val="center"/>
        <w:rPr/>
      </w:pPr>
      <w:r>
        <w:rPr>
          <w:rFonts w:cs="Arial" w:ascii="Arial" w:hAnsi="Arial"/>
          <w:b/>
          <w:bCs/>
          <w:i/>
          <w:iCs/>
          <w:color w:val="auto"/>
          <w:sz w:val="20"/>
          <w:szCs w:val="20"/>
        </w:rPr>
        <w:t>Campus</w:t>
      </w:r>
      <w:r>
        <w:rPr>
          <w:rFonts w:cs="Arial" w:ascii="Arial" w:hAnsi="Arial"/>
          <w:b/>
          <w:bCs/>
          <w:i w:val="false"/>
          <w:iCs w:val="false"/>
          <w:color w:val="auto"/>
          <w:sz w:val="20"/>
          <w:szCs w:val="20"/>
        </w:rPr>
        <w:t xml:space="preserve"> Linhares</w:t>
      </w:r>
      <w:r>
        <w:rPr>
          <w:rFonts w:cs="Arial" w:ascii="Arial" w:hAnsi="Arial"/>
          <w:b/>
          <w:bCs/>
          <w:i/>
          <w:color w:val="FF0000"/>
          <w:sz w:val="20"/>
          <w:szCs w:val="20"/>
        </w:rPr>
        <w:t xml:space="preserve"> </w:t>
      </w:r>
    </w:p>
    <w:p>
      <w:pPr>
        <w:pStyle w:val="Normal"/>
        <w:spacing w:lineRule="auto" w:line="312" w:before="120" w:after="288"/>
        <w:ind w:firstLine="709"/>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color w:val="000000"/>
          <w:sz w:val="20"/>
          <w:szCs w:val="20"/>
        </w:rPr>
        <w:t>23155.000730/2023-47</w:t>
      </w:r>
      <w:r>
        <w:rPr>
          <w:rFonts w:cs="Arial" w:ascii="Arial" w:hAnsi="Arial"/>
          <w:bCs/>
          <w:color w:val="000000"/>
          <w:sz w:val="20"/>
          <w:szCs w:val="20"/>
        </w:rPr>
        <w:t>)</w:t>
      </w:r>
    </w:p>
    <w:p>
      <w:pPr>
        <w:pStyle w:val="Prembulo"/>
        <w:spacing w:lineRule="auto" w:line="312" w:before="480" w:after="288"/>
        <w:ind w:left="4253" w:right="-170" w:hanging="0"/>
        <w:rPr>
          <w:bCs w:val="false"/>
        </w:rPr>
      </w:pPr>
      <w:r>
        <w:rPr>
          <w:bCs w:val="false"/>
        </w:rPr>
        <w:t xml:space="preserve">CONTRATO ADMINISTRATIVO Nº ..…./……....., QUE FAZEM ENTRE SI A UNIÃO, POR INTERMÉDIO DO </w:t>
      </w:r>
      <w:r>
        <w:rPr>
          <w:bCs w:val="false"/>
        </w:rPr>
        <w:t xml:space="preserve"> INSTITUTO FEDERAL DO ESPÍRITO SANTO – CAMPUS LINHARES</w:t>
      </w:r>
      <w:r>
        <w:rPr>
          <w:bCs w:val="false"/>
        </w:rPr>
        <w:t xml:space="preserve"> E …………............................................................... </w:t>
      </w:r>
    </w:p>
    <w:p>
      <w:pPr>
        <w:pStyle w:val="Normal"/>
        <w:spacing w:lineRule="auto" w:line="312" w:before="120" w:after="288"/>
        <w:ind w:firstLine="567"/>
        <w:jc w:val="both"/>
        <w:rPr>
          <w:rFonts w:ascii="Arial" w:hAnsi="Arial" w:eastAsia="Arial" w:cs="Arial"/>
          <w:sz w:val="20"/>
          <w:szCs w:val="20"/>
        </w:rPr>
      </w:pPr>
      <w:r>
        <w:rPr>
          <w:rFonts w:eastAsia="Arial" w:cs="Arial" w:ascii="Arial" w:hAnsi="Arial"/>
          <w:sz w:val="20"/>
          <w:szCs w:val="20"/>
        </w:rPr>
        <w:t>A União, por intermédio do</w:t>
      </w:r>
      <w:r>
        <w:rPr>
          <w:rFonts w:eastAsia="Arial" w:cs="Arial" w:ascii="Arial" w:hAnsi="Arial"/>
          <w:b/>
          <w:bCs/>
          <w:sz w:val="20"/>
          <w:szCs w:val="20"/>
        </w:rPr>
        <w:t xml:space="preserve"> Instituto Federal do Espírito Santo – </w:t>
      </w:r>
      <w:r>
        <w:rPr>
          <w:rFonts w:eastAsia="Arial" w:cs="Arial" w:ascii="Arial" w:hAnsi="Arial"/>
          <w:b/>
          <w:bCs/>
          <w:i/>
          <w:iCs/>
          <w:sz w:val="20"/>
          <w:szCs w:val="20"/>
        </w:rPr>
        <w:t>campus</w:t>
      </w:r>
      <w:r>
        <w:rPr>
          <w:rFonts w:eastAsia="Arial" w:cs="Arial" w:ascii="Arial" w:hAnsi="Arial"/>
          <w:b/>
          <w:bCs/>
          <w:sz w:val="20"/>
          <w:szCs w:val="20"/>
        </w:rPr>
        <w:t xml:space="preserve"> Linhares</w:t>
      </w:r>
      <w:r>
        <w:rPr>
          <w:rFonts w:eastAsia="Arial" w:cs="Arial" w:ascii="Arial" w:hAnsi="Arial"/>
          <w:b w:val="false"/>
          <w:bCs w:val="false"/>
          <w:sz w:val="20"/>
          <w:szCs w:val="20"/>
        </w:rPr>
        <w:t xml:space="preserve">, Autarquia Federal, vinculada ao Ministério da Educação, criado pela Lei nº 11.892, de 29 de dezembro de 2008, </w:t>
      </w:r>
      <w:r>
        <w:rPr>
          <w:rFonts w:eastAsia="Arial" w:cs="Arial" w:ascii="Arial" w:hAnsi="Arial"/>
          <w:sz w:val="20"/>
          <w:szCs w:val="20"/>
        </w:rPr>
        <w:t xml:space="preserve">com sede na </w:t>
      </w:r>
      <w:r>
        <w:rPr>
          <w:rFonts w:eastAsia="Arial" w:cs="Arial" w:ascii="Arial" w:hAnsi="Arial"/>
          <w:sz w:val="20"/>
          <w:szCs w:val="20"/>
        </w:rPr>
        <w:t>Avenida Filogônio Peixoto, nº 2.220, município de Linhares, estado do Espírito Santo, CEP: 29.901-</w:t>
      </w:r>
      <w:r>
        <w:rPr>
          <w:rFonts w:eastAsia="Arial" w:cs="Arial" w:ascii="Arial" w:hAnsi="Arial"/>
          <w:i w:val="false"/>
          <w:iCs w:val="false"/>
          <w:color w:val="auto"/>
          <w:sz w:val="20"/>
          <w:szCs w:val="20"/>
        </w:rPr>
        <w:t>291</w:t>
      </w:r>
      <w:r>
        <w:rPr>
          <w:rFonts w:eastAsia="Arial" w:cs="Arial" w:ascii="Arial" w:hAnsi="Arial"/>
          <w:i w:val="false"/>
          <w:iCs w:val="false"/>
          <w:color w:val="auto"/>
          <w:sz w:val="20"/>
          <w:szCs w:val="20"/>
        </w:rPr>
        <w:t xml:space="preserve">, na cidade de </w:t>
      </w:r>
      <w:r>
        <w:rPr>
          <w:rFonts w:eastAsia="Arial" w:cs="Arial" w:ascii="Arial" w:hAnsi="Arial"/>
          <w:i w:val="false"/>
          <w:iCs w:val="false"/>
          <w:color w:val="auto"/>
          <w:sz w:val="20"/>
          <w:szCs w:val="20"/>
        </w:rPr>
        <w:t>Linhares</w:t>
      </w:r>
      <w:r>
        <w:rPr>
          <w:rFonts w:eastAsia="Arial" w:cs="Arial" w:ascii="Arial" w:hAnsi="Arial"/>
          <w:i w:val="false"/>
          <w:iCs w:val="false"/>
          <w:color w:val="auto"/>
          <w:sz w:val="20"/>
          <w:szCs w:val="20"/>
        </w:rPr>
        <w:t>/E</w:t>
      </w:r>
      <w:r>
        <w:rPr>
          <w:rFonts w:eastAsia="Arial" w:cs="Arial" w:ascii="Arial" w:hAnsi="Arial"/>
          <w:i w:val="false"/>
          <w:iCs w:val="false"/>
          <w:color w:val="auto"/>
          <w:sz w:val="20"/>
          <w:szCs w:val="20"/>
        </w:rPr>
        <w:t>S</w:t>
      </w:r>
      <w:r>
        <w:rPr>
          <w:rFonts w:eastAsia="Arial" w:cs="Arial" w:ascii="Arial" w:hAnsi="Arial"/>
          <w:i w:val="false"/>
          <w:iCs w:val="false"/>
          <w:color w:val="auto"/>
          <w:sz w:val="20"/>
          <w:szCs w:val="20"/>
        </w:rPr>
        <w:t xml:space="preserve">, inscrito no CNPJ sob o nº </w:t>
      </w:r>
      <w:r>
        <w:rPr>
          <w:rFonts w:eastAsia="Arial" w:cs="Arial" w:ascii="Arial" w:hAnsi="Arial"/>
          <w:i w:val="false"/>
          <w:iCs w:val="false"/>
          <w:color w:val="auto"/>
          <w:sz w:val="20"/>
          <w:szCs w:val="20"/>
        </w:rPr>
        <w:t>10.838.653/0006-02</w:t>
      </w:r>
      <w:r>
        <w:rPr>
          <w:rFonts w:eastAsia="Arial" w:cs="Arial" w:ascii="Arial" w:hAnsi="Arial"/>
          <w:i w:val="false"/>
          <w:iCs w:val="false"/>
          <w:color w:val="auto"/>
          <w:sz w:val="20"/>
          <w:szCs w:val="20"/>
        </w:rPr>
        <w:t xml:space="preserve">, neste ato representado pel(a)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nomeado(a) pela Portaria nº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de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de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de 20</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publicada no DOU de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de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de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portador da Matrícula Funcional nº .........., doravante denominado CONTRATANTE, e o(a)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inscrito(a) no CNPJ/MF sob o nº ............................, sediado(a) na</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em</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w:t>
      </w:r>
      <w:r>
        <w:rPr>
          <w:rFonts w:eastAsia="Arial" w:cs="Arial" w:ascii="Arial" w:hAnsi="Arial"/>
          <w:i w:val="false"/>
          <w:iCs w:val="false"/>
          <w:color w:val="auto"/>
          <w:sz w:val="20"/>
          <w:szCs w:val="20"/>
        </w:rPr>
        <w:t xml:space="preserve"> doravante designado CONTRATADO, </w:t>
      </w:r>
      <w:r>
        <w:rPr>
          <w:rFonts w:eastAsia="Arial" w:cs="Arial" w:ascii="Arial" w:hAnsi="Arial"/>
          <w:i w:val="false"/>
          <w:iCs w:val="false"/>
          <w:color w:val="auto"/>
          <w:sz w:val="20"/>
          <w:szCs w:val="20"/>
        </w:rPr>
        <w:t xml:space="preserve">neste ato representado(a) por </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(nome e função no contratado)</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 xml:space="preserve">conforme atos constitutivos da empresa </w:t>
      </w:r>
      <w:r>
        <w:rPr>
          <w:rFonts w:eastAsia="Arial" w:cs="Arial" w:ascii="Arial" w:hAnsi="Arial"/>
          <w:b/>
          <w:bCs/>
          <w:i w:val="false"/>
          <w:iCs w:val="false"/>
          <w:color w:val="auto"/>
          <w:sz w:val="20"/>
          <w:szCs w:val="20"/>
        </w:rPr>
        <w:t>OU</w:t>
      </w:r>
      <w:r>
        <w:rPr>
          <w:rFonts w:eastAsia="Arial" w:cs="Arial" w:ascii="Arial" w:hAnsi="Arial"/>
          <w:i w:val="false"/>
          <w:iCs w:val="false"/>
          <w:color w:val="auto"/>
          <w:sz w:val="20"/>
          <w:szCs w:val="20"/>
        </w:rPr>
        <w:t xml:space="preserve"> procuração apresentada nos autos, </w:t>
      </w:r>
      <w:r>
        <w:rPr>
          <w:rFonts w:eastAsia="Arial" w:cs="Arial" w:ascii="Arial" w:hAnsi="Arial"/>
          <w:i w:val="false"/>
          <w:iCs w:val="false"/>
          <w:color w:val="auto"/>
          <w:sz w:val="20"/>
          <w:szCs w:val="20"/>
        </w:rPr>
        <w:t xml:space="preserve">tendo em vista o que consta no Processo nº </w:t>
      </w:r>
      <w:r>
        <w:rPr>
          <w:rFonts w:eastAsia="Arial" w:cs="Arial" w:ascii="Arial" w:hAnsi="Arial"/>
          <w:i w:val="false"/>
          <w:iCs w:val="false"/>
          <w:color w:val="auto"/>
          <w:sz w:val="20"/>
          <w:szCs w:val="20"/>
        </w:rPr>
        <w:t>23155.000730/2023-47</w:t>
      </w:r>
      <w:r>
        <w:rPr>
          <w:rFonts w:eastAsia="Arial" w:cs="Arial" w:ascii="Arial" w:hAnsi="Arial"/>
          <w:i w:val="false"/>
          <w:iCs w:val="false"/>
          <w:color w:val="auto"/>
          <w:sz w:val="20"/>
          <w:szCs w:val="20"/>
        </w:rPr>
        <w:t xml:space="preserve"> </w:t>
      </w:r>
      <w:r>
        <w:rPr>
          <w:rFonts w:eastAsia="Arial" w:cs="Arial" w:ascii="Arial" w:hAnsi="Arial"/>
          <w:i w:val="false"/>
          <w:iCs w:val="false"/>
          <w:color w:val="auto"/>
          <w:sz w:val="20"/>
          <w:szCs w:val="20"/>
        </w:rPr>
        <w:t xml:space="preserve">e em observância às disposições da Lei nº 14.133, de 1º de abril de 2021, e demais legislação aplicável, resolvem celebrar o presente Termo de Contrato, decorrente </w:t>
      </w:r>
      <w:r>
        <w:rPr>
          <w:rFonts w:eastAsia="Arial" w:cs="Arial" w:ascii="Arial" w:hAnsi="Arial"/>
          <w:i w:val="false"/>
          <w:iCs w:val="false"/>
          <w:color w:val="auto"/>
          <w:sz w:val="20"/>
          <w:szCs w:val="20"/>
        </w:rPr>
        <w:t>do Pregão Eletrônico n. .../...</w:t>
      </w:r>
      <w:r>
        <w:rPr>
          <w:rFonts w:eastAsia="Arial" w:cs="Arial" w:ascii="Arial" w:hAnsi="Arial"/>
          <w:i w:val="false"/>
          <w:iCs w:val="false"/>
          <w:color w:val="auto"/>
          <w:sz w:val="20"/>
          <w:szCs w:val="20"/>
        </w:rPr>
        <w:t>, mediante as cláusulas e condições a seguir enunciadas.</w:t>
      </w:r>
    </w:p>
    <w:p>
      <w:pPr>
        <w:pStyle w:val="Normal"/>
        <w:spacing w:lineRule="auto" w:line="312" w:before="120" w:after="288"/>
        <w:ind w:firstLine="567"/>
        <w:jc w:val="both"/>
        <w:rPr>
          <w:rFonts w:ascii="Arial" w:hAnsi="Arial" w:eastAsia="Arial" w:cs="Arial"/>
          <w:sz w:val="20"/>
          <w:szCs w:val="20"/>
        </w:rPr>
      </w:pPr>
      <w:r>
        <w:rPr/>
      </w:r>
    </w:p>
    <w:p>
      <w:pPr>
        <w:pStyle w:val="Nivel01"/>
        <w:numPr>
          <w:ilvl w:val="0"/>
          <w:numId w:val="9"/>
        </w:numPr>
        <w:spacing w:lineRule="auto" w:line="312" w:before="120" w:after="288"/>
        <w:ind w:left="0" w:hanging="0"/>
        <w:rPr>
          <w:color w:val="FFFFFF" w:themeColor="background1"/>
        </w:rPr>
      </w:pPr>
      <w:r>
        <w:rPr/>
        <w:t>CLÁUSULA PRIMEIRA – OBJETO</w:t>
      </w:r>
    </w:p>
    <w:p>
      <w:pPr>
        <w:pStyle w:val="Nivel2"/>
        <w:numPr>
          <w:ilvl w:val="1"/>
          <w:numId w:val="10"/>
        </w:numPr>
        <w:spacing w:lineRule="auto" w:line="312" w:before="120" w:after="288"/>
        <w:ind w:left="0" w:firstLine="709"/>
        <w:rPr/>
      </w:pPr>
      <w:r>
        <w:rPr/>
        <w:t xml:space="preserve">O objeto do presente instrumento é a contratação de serviços de </w:t>
      </w:r>
      <w:r>
        <w:rPr>
          <w:rFonts w:eastAsia="Arial" w:cs="Arial"/>
          <w:color w:val="000000"/>
          <w:sz w:val="20"/>
          <w:szCs w:val="20"/>
        </w:rPr>
        <w:t>manutenção preventiva e corretiva de aparelhos de ar condicionado, com fornecimento de peças</w:t>
      </w:r>
      <w:r>
        <w:rPr/>
        <w:t xml:space="preserve">, </w:t>
      </w:r>
      <w:r>
        <w:rPr/>
        <w:t xml:space="preserve">para atendimento das necessidades do Ifes </w:t>
      </w:r>
      <w:r>
        <w:rPr>
          <w:i/>
          <w:iCs/>
        </w:rPr>
        <w:t>campus</w:t>
      </w:r>
      <w:r>
        <w:rPr/>
        <w:t xml:space="preserve"> Linhares, </w:t>
      </w:r>
      <w:r>
        <w:rPr/>
        <w:t>nas condições estabelecidas no Termo de Referência.</w:t>
      </w:r>
    </w:p>
    <w:p>
      <w:pPr>
        <w:pStyle w:val="Nivel2"/>
        <w:widowControl/>
        <w:numPr>
          <w:ilvl w:val="0"/>
          <w:numId w:val="0"/>
        </w:numPr>
        <w:spacing w:lineRule="auto" w:line="312" w:before="120" w:after="288"/>
        <w:ind w:left="0" w:firstLine="709"/>
        <w:jc w:val="both"/>
        <w:rPr/>
      </w:pPr>
      <w:r>
        <w:rPr/>
      </w:r>
      <w:r>
        <w:br w:type="page"/>
      </w:r>
    </w:p>
    <w:p>
      <w:pPr>
        <w:pStyle w:val="Nivel2"/>
        <w:numPr>
          <w:ilvl w:val="1"/>
          <w:numId w:val="11"/>
        </w:numPr>
        <w:spacing w:lineRule="auto" w:line="312" w:before="120" w:after="288"/>
        <w:ind w:left="0" w:firstLine="709"/>
        <w:rPr/>
      </w:pPr>
      <w:r>
        <w:rPr/>
        <w:t>Objeto da contratação:</w:t>
      </w:r>
    </w:p>
    <w:tbl>
      <w:tblPr>
        <w:tblW w:w="9598"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735"/>
        <w:gridCol w:w="2610"/>
        <w:gridCol w:w="1080"/>
        <w:gridCol w:w="1020"/>
        <w:gridCol w:w="1020"/>
        <w:gridCol w:w="1470"/>
        <w:gridCol w:w="1663"/>
      </w:tblGrid>
      <w:tr>
        <w:trPr/>
        <w:tc>
          <w:tcPr>
            <w:tcW w:w="7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26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jc w:val="center"/>
              <w:rPr>
                <w:rFonts w:ascii="Arial" w:hAnsi="Arial" w:eastAsia="Arial" w:cs="Arial"/>
                <w:color w:val="000000"/>
                <w:sz w:val="20"/>
                <w:szCs w:val="20"/>
              </w:rPr>
            </w:pPr>
            <w:r>
              <w:rPr>
                <w:rFonts w:eastAsia="Arial" w:cs="Arial" w:ascii="Arial" w:hAnsi="Arial"/>
                <w:b/>
                <w:bCs/>
                <w:color w:val="000000" w:themeColor="text1"/>
                <w:sz w:val="20"/>
                <w:szCs w:val="20"/>
              </w:rPr>
              <w:t>CATSER</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jc w:val="center"/>
              <w:rPr>
                <w:rFonts w:ascii="Arial" w:hAnsi="Arial" w:eastAsia="Arial" w:cs="Arial"/>
                <w:b/>
                <w:b/>
                <w:bCs/>
                <w:sz w:val="20"/>
                <w:szCs w:val="20"/>
              </w:rPr>
            </w:pPr>
            <w:r>
              <w:rPr>
                <w:rFonts w:eastAsia="Arial" w:cs="Arial" w:ascii="Arial" w:hAnsi="Arial"/>
                <w:b/>
                <w:bCs/>
                <w:sz w:val="20"/>
                <w:szCs w:val="20"/>
              </w:rPr>
              <w:t>QUANTIDADE</w:t>
            </w:r>
          </w:p>
        </w:tc>
        <w:tc>
          <w:tcPr>
            <w:tcW w:w="14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jc w:val="center"/>
              <w:rPr>
                <w:rFonts w:ascii="Arial" w:hAnsi="Arial" w:eastAsia="Arial" w:cs="Arial"/>
                <w:b/>
                <w:b/>
                <w:bCs/>
                <w:sz w:val="20"/>
                <w:szCs w:val="20"/>
              </w:rPr>
            </w:pPr>
            <w:r>
              <w:rPr>
                <w:rFonts w:eastAsia="Arial" w:cs="Arial" w:ascii="Arial" w:hAnsi="Arial"/>
                <w:b/>
                <w:bCs/>
                <w:sz w:val="20"/>
                <w:szCs w:val="20"/>
              </w:rPr>
              <w:t>VALOR UNITÁRIO</w:t>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jc w:val="center"/>
              <w:rPr>
                <w:rFonts w:ascii="Arial" w:hAnsi="Arial" w:eastAsia="Arial" w:cs="Arial"/>
                <w:b/>
                <w:b/>
                <w:bCs/>
                <w:sz w:val="20"/>
                <w:szCs w:val="20"/>
                <w:lang w:eastAsia="pt-BR"/>
              </w:rPr>
            </w:pPr>
            <w:r>
              <w:rPr>
                <w:rFonts w:eastAsia="Arial" w:cs="Arial" w:ascii="Arial" w:hAnsi="Arial"/>
                <w:b/>
                <w:bCs/>
                <w:sz w:val="20"/>
                <w:szCs w:val="20"/>
                <w:lang w:eastAsia="pt-BR"/>
              </w:rPr>
              <w:t>VALOR</w:t>
            </w:r>
          </w:p>
          <w:p>
            <w:pPr>
              <w:pStyle w:val="Normal"/>
              <w:widowControl w:val="false"/>
              <w:spacing w:lineRule="auto" w:line="276" w:before="113" w:after="113"/>
              <w:jc w:val="center"/>
              <w:rPr>
                <w:rFonts w:ascii="Arial" w:hAnsi="Arial" w:eastAsia="Arial" w:cs="Arial"/>
                <w:b/>
                <w:b/>
                <w:bCs/>
                <w:sz w:val="20"/>
                <w:szCs w:val="20"/>
                <w:lang w:eastAsia="pt-BR"/>
              </w:rPr>
            </w:pPr>
            <w:r>
              <w:rPr>
                <w:rFonts w:eastAsia="Arial" w:cs="Arial" w:ascii="Arial" w:hAnsi="Arial"/>
                <w:b/>
                <w:bCs/>
                <w:sz w:val="20"/>
                <w:szCs w:val="20"/>
                <w:lang w:eastAsia="pt-BR"/>
              </w:rPr>
              <w:t>TOTAL</w:t>
            </w:r>
          </w:p>
        </w:tc>
      </w:tr>
      <w:tr>
        <w:trPr/>
        <w:tc>
          <w:tcPr>
            <w:tcW w:w="7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20" w:after="288"/>
              <w:ind w:hanging="0"/>
              <w:jc w:val="center"/>
              <w:textAlignment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6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ind w:hanging="0"/>
              <w:jc w:val="both"/>
              <w:textAlignment w:val="center"/>
              <w:rPr>
                <w:rFonts w:ascii="Arial" w:hAnsi="Arial" w:eastAsia="Arial" w:cs="Arial"/>
                <w:color w:val="000000"/>
                <w:sz w:val="20"/>
                <w:szCs w:val="20"/>
              </w:rPr>
            </w:pPr>
            <w:r>
              <w:rPr>
                <w:rFonts w:eastAsia="Arial" w:cs="Arial" w:ascii="Arial" w:hAnsi="Arial"/>
                <w:color w:val="000000"/>
                <w:sz w:val="20"/>
                <w:szCs w:val="20"/>
              </w:rPr>
              <w:t>Contratação de empresa especializada para presta-ção de serviço de manu-tenção preventiva e corre-tiva de aparelhos de ar condicionado, com forneci-mento de peças.</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ind w:hanging="0"/>
              <w:jc w:val="center"/>
              <w:textAlignment w:val="center"/>
              <w:rPr>
                <w:rFonts w:ascii="Arial" w:hAnsi="Arial" w:eastAsia="Arial" w:cs="Arial"/>
                <w:color w:val="000000"/>
                <w:sz w:val="20"/>
                <w:szCs w:val="20"/>
              </w:rPr>
            </w:pPr>
            <w:r>
              <w:rPr>
                <w:rFonts w:eastAsia="Arial" w:cs="Arial" w:ascii="Arial" w:hAnsi="Arial"/>
                <w:color w:val="000000"/>
                <w:sz w:val="20"/>
                <w:szCs w:val="20"/>
              </w:rPr>
              <w:t>2771</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ind w:hanging="0"/>
              <w:jc w:val="center"/>
              <w:textAlignment w:val="center"/>
              <w:rPr>
                <w:rFonts w:ascii="Arial" w:hAnsi="Arial" w:eastAsia="Arial" w:cs="Arial"/>
                <w:color w:val="000000"/>
                <w:sz w:val="20"/>
                <w:szCs w:val="20"/>
              </w:rPr>
            </w:pPr>
            <w:r>
              <w:rPr>
                <w:rFonts w:eastAsia="Arial" w:cs="Arial" w:ascii="Arial" w:hAnsi="Arial"/>
                <w:color w:val="000000"/>
                <w:sz w:val="20"/>
                <w:szCs w:val="20"/>
              </w:rPr>
              <w:t>Serviço</w:t>
            </w:r>
          </w:p>
        </w:tc>
        <w:tc>
          <w:tcPr>
            <w:tcW w:w="10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ind w:hanging="0"/>
              <w:jc w:val="center"/>
              <w:textAlignment w:val="center"/>
              <w:rPr>
                <w:rFonts w:ascii="Arial" w:hAnsi="Arial" w:eastAsia="Arial" w:cs="Arial"/>
                <w:color w:val="000000"/>
                <w:sz w:val="20"/>
                <w:szCs w:val="20"/>
              </w:rPr>
            </w:pPr>
            <w:r>
              <w:rPr>
                <w:rFonts w:eastAsia="Arial" w:cs="Arial" w:ascii="Arial" w:hAnsi="Arial"/>
                <w:color w:val="000000"/>
                <w:sz w:val="20"/>
                <w:szCs w:val="20"/>
              </w:rPr>
              <w:t>1</w:t>
            </w:r>
          </w:p>
        </w:tc>
        <w:tc>
          <w:tcPr>
            <w:tcW w:w="14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ind w:firstLine="709"/>
              <w:jc w:val="center"/>
              <w:textAlignment w:val="center"/>
              <w:rPr>
                <w:rFonts w:ascii="Arial" w:hAnsi="Arial" w:eastAsia="Arial" w:cs="Arial"/>
                <w:color w:val="000000"/>
                <w:sz w:val="20"/>
                <w:szCs w:val="20"/>
              </w:rPr>
            </w:pPr>
            <w:r>
              <w:rPr>
                <w:rFonts w:eastAsia="Arial" w:cs="Arial" w:ascii="Arial" w:hAnsi="Arial"/>
                <w:color w:val="000000"/>
                <w:sz w:val="20"/>
                <w:szCs w:val="20"/>
              </w:rPr>
            </w:r>
          </w:p>
        </w:tc>
        <w:tc>
          <w:tcPr>
            <w:tcW w:w="16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before="113" w:after="113"/>
              <w:ind w:firstLine="709"/>
              <w:jc w:val="center"/>
              <w:textAlignment w:val="center"/>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
        </w:numPr>
        <w:spacing w:lineRule="auto" w:line="312" w:before="120" w:after="288"/>
        <w:ind w:left="0" w:firstLine="567"/>
        <w:rPr>
          <w:lang w:val="x-none"/>
        </w:rPr>
      </w:pPr>
      <w:r>
        <w:rPr/>
        <w:t>Vinculam esta contratação, independentemente de transcrição:</w:t>
      </w:r>
    </w:p>
    <w:p>
      <w:pPr>
        <w:pStyle w:val="Nivel3"/>
        <w:numPr>
          <w:ilvl w:val="2"/>
          <w:numId w:val="13"/>
        </w:numPr>
        <w:spacing w:lineRule="auto" w:line="312" w:before="120" w:after="288"/>
        <w:ind w:left="170" w:firstLine="709"/>
        <w:rPr>
          <w:lang w:val="x-none"/>
        </w:rPr>
      </w:pPr>
      <w:r>
        <w:rPr/>
        <w:t>O Termo de Referência;</w:t>
      </w:r>
    </w:p>
    <w:p>
      <w:pPr>
        <w:pStyle w:val="Nivel3"/>
        <w:numPr>
          <w:ilvl w:val="2"/>
          <w:numId w:val="14"/>
        </w:numPr>
        <w:spacing w:lineRule="auto" w:line="312" w:before="120" w:after="288"/>
        <w:ind w:left="170" w:firstLine="709"/>
        <w:rPr>
          <w:lang w:val="x-none"/>
        </w:rPr>
      </w:pPr>
      <w:r>
        <w:rPr/>
        <w:t>O Edital da Licitação;</w:t>
      </w:r>
    </w:p>
    <w:p>
      <w:pPr>
        <w:pStyle w:val="Nivel3"/>
        <w:numPr>
          <w:ilvl w:val="2"/>
          <w:numId w:val="15"/>
        </w:numPr>
        <w:spacing w:lineRule="auto" w:line="312" w:before="120" w:after="288"/>
        <w:ind w:left="170" w:firstLine="709"/>
        <w:rPr>
          <w:lang w:val="x-none"/>
        </w:rPr>
      </w:pPr>
      <w:r>
        <w:rPr/>
        <w:t>A Proposta do contratado;</w:t>
      </w:r>
    </w:p>
    <w:p>
      <w:pPr>
        <w:pStyle w:val="Nivel3"/>
        <w:numPr>
          <w:ilvl w:val="2"/>
          <w:numId w:val="16"/>
        </w:numPr>
        <w:spacing w:lineRule="auto" w:line="312" w:before="120" w:after="288"/>
        <w:ind w:left="170" w:firstLine="709"/>
        <w:rPr>
          <w:lang w:val="x-none"/>
        </w:rPr>
      </w:pPr>
      <w:r>
        <w:rPr/>
        <w:t>Eventuais anexos dos documentos supracitados.</w:t>
      </w:r>
    </w:p>
    <w:p>
      <w:pPr>
        <w:pStyle w:val="Nivel01"/>
        <w:numPr>
          <w:ilvl w:val="0"/>
          <w:numId w:val="17"/>
        </w:numPr>
        <w:spacing w:lineRule="auto" w:line="312" w:before="120" w:after="288"/>
        <w:ind w:left="0" w:hanging="0"/>
        <w:rPr>
          <w:color w:val="FFFFFF" w:themeColor="background1"/>
        </w:rPr>
      </w:pPr>
      <w:r>
        <w:rPr/>
        <w:t>CLÁUSULA SEGUNDA – VIGÊNCIA E PRORROGAÇÃO</w:t>
      </w:r>
    </w:p>
    <w:p>
      <w:pPr>
        <w:pStyle w:val="Nivel2"/>
        <w:numPr>
          <w:ilvl w:val="1"/>
          <w:numId w:val="18"/>
        </w:numPr>
        <w:spacing w:lineRule="auto" w:line="312" w:before="120" w:after="288"/>
        <w:ind w:left="0" w:firstLine="567"/>
        <w:rPr/>
      </w:pPr>
      <w:r>
        <w:rPr>
          <w:i w:val="false"/>
          <w:iCs w:val="false"/>
          <w:color w:val="auto"/>
        </w:rPr>
        <w:t xml:space="preserve">O prazo de vigência da contratação é de </w:t>
      </w:r>
      <w:r>
        <w:rPr>
          <w:i w:val="false"/>
          <w:iCs w:val="false"/>
          <w:color w:val="auto"/>
        </w:rPr>
        <w:t xml:space="preserve">12 (doze) meses </w:t>
      </w:r>
      <w:r>
        <w:rPr>
          <w:i w:val="false"/>
          <w:iCs w:val="false"/>
          <w:color w:val="auto"/>
        </w:rPr>
        <w:t xml:space="preserve">contados da </w:t>
      </w:r>
      <w:r>
        <w:rPr>
          <w:i w:val="false"/>
          <w:iCs w:val="false"/>
          <w:color w:val="auto"/>
        </w:rPr>
        <w:t>assinatura do contrato</w:t>
      </w:r>
      <w:r>
        <w:rPr>
          <w:i w:val="false"/>
          <w:iCs w:val="false"/>
          <w:color w:val="auto"/>
        </w:rPr>
        <w:t xml:space="preserve">, prorrogável por até 10 anos, na forma dos </w:t>
      </w:r>
      <w:r>
        <w:fldChar w:fldCharType="begin"/>
      </w:r>
      <w:r>
        <w:rPr>
          <w:rStyle w:val="LinkdaInternet"/>
          <w:i w:val="false"/>
          <w:iCs w:val="false"/>
          <w:color w:val="auto"/>
        </w:rPr>
        <w:instrText> HYPERLINK "http://www.planalto.gov.br/ccivil_03/_ato2019-2022/2021/lei/L14133.htm" \l "art106"</w:instrText>
      </w:r>
      <w:r>
        <w:rPr>
          <w:rStyle w:val="LinkdaInternet"/>
          <w:i w:val="false"/>
          <w:iCs w:val="false"/>
          <w:color w:val="auto"/>
        </w:rPr>
        <w:fldChar w:fldCharType="separate"/>
      </w:r>
      <w:r>
        <w:rPr>
          <w:rStyle w:val="LinkdaInternet"/>
          <w:i w:val="false"/>
          <w:iCs w:val="false"/>
          <w:color w:val="auto"/>
        </w:rPr>
        <w:t>artigos 106 e 107 da Lei n° 14.133, de 2021.</w:t>
      </w:r>
      <w:r>
        <w:rPr>
          <w:rStyle w:val="LinkdaInternet"/>
          <w:i w:val="false"/>
          <w:iCs w:val="false"/>
          <w:color w:val="auto"/>
        </w:rPr>
        <w:fldChar w:fldCharType="end"/>
      </w:r>
    </w:p>
    <w:p>
      <w:pPr>
        <w:pStyle w:val="Nivel2"/>
        <w:numPr>
          <w:ilvl w:val="1"/>
          <w:numId w:val="19"/>
        </w:numPr>
        <w:spacing w:lineRule="auto" w:line="312" w:before="120" w:after="288"/>
        <w:ind w:left="0" w:firstLine="567"/>
        <w:rPr>
          <w:i w:val="false"/>
          <w:i w:val="false"/>
          <w:iCs w:val="false"/>
          <w:color w:val="auto"/>
        </w:rPr>
      </w:pPr>
      <w:r>
        <w:rPr>
          <w:i w:val="false"/>
          <w:iCs w:val="false"/>
          <w:color w:val="auto"/>
        </w:rPr>
        <w:t>A prorrogação de que trata este item é condicionada ao ateste, pela autoridade competente, de que as condições e os preços permanecem vantajosos para a Administração, permitida a negociação com o contratado.</w:t>
      </w:r>
    </w:p>
    <w:p>
      <w:pPr>
        <w:pStyle w:val="Nivel01"/>
        <w:numPr>
          <w:ilvl w:val="0"/>
          <w:numId w:val="20"/>
        </w:numPr>
        <w:spacing w:lineRule="auto" w:line="312" w:before="120" w:after="288"/>
        <w:ind w:left="0" w:hanging="0"/>
        <w:rPr>
          <w:color w:val="FFFFFF" w:themeColor="background1"/>
        </w:rPr>
      </w:pPr>
      <w:bookmarkStart w:id="0" w:name="_Hlk114497502"/>
      <w:bookmarkStart w:id="1" w:name="_Hlk114497577"/>
      <w:bookmarkEnd w:id="0"/>
      <w:bookmarkEnd w:id="1"/>
      <w:r>
        <w:rPr/>
        <w:t>CLÁUSULA TERCEIRA – MODELOS DE EXECUÇÃO E GESTÃO CONTRATUAIS</w:t>
      </w:r>
    </w:p>
    <w:p>
      <w:pPr>
        <w:pStyle w:val="Nivel2"/>
        <w:numPr>
          <w:ilvl w:val="1"/>
          <w:numId w:val="21"/>
        </w:numPr>
        <w:spacing w:lineRule="auto" w:line="312" w:before="120" w:after="288"/>
        <w:ind w:left="0" w:firstLine="567"/>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22"/>
        </w:numPr>
        <w:spacing w:lineRule="auto" w:line="312" w:before="120" w:after="288"/>
        <w:ind w:left="0" w:hanging="0"/>
        <w:rPr>
          <w:color w:val="FFFFFF" w:themeColor="background1"/>
        </w:rPr>
      </w:pPr>
      <w:r>
        <w:rPr/>
        <w:t>CLÁUSULA QUARTA – SUBCONTRATAÇÃO</w:t>
      </w:r>
    </w:p>
    <w:p>
      <w:pPr>
        <w:pStyle w:val="Nivel2"/>
        <w:numPr>
          <w:ilvl w:val="1"/>
          <w:numId w:val="23"/>
        </w:numPr>
        <w:spacing w:lineRule="auto" w:line="312" w:before="120" w:after="288"/>
        <w:ind w:left="0" w:firstLine="567"/>
        <w:rPr>
          <w:i w:val="false"/>
          <w:i w:val="false"/>
          <w:iCs w:val="false"/>
          <w:color w:val="auto"/>
        </w:rPr>
      </w:pPr>
      <w:r>
        <w:rPr>
          <w:i w:val="false"/>
          <w:iCs w:val="false"/>
          <w:color w:val="auto"/>
        </w:rPr>
        <w:t>Não será admitida a subcontratação do objeto contratual.</w:t>
      </w:r>
    </w:p>
    <w:p>
      <w:pPr>
        <w:pStyle w:val="Ou"/>
        <w:spacing w:lineRule="auto" w:line="312" w:before="120" w:after="288"/>
        <w:ind w:left="0" w:firstLine="567"/>
        <w:rPr>
          <w:sz w:val="20"/>
          <w:szCs w:val="20"/>
          <w:lang w:eastAsia="zh-CN" w:bidi="hi-IN"/>
        </w:rPr>
      </w:pPr>
      <w:r>
        <w:rPr/>
      </w:r>
    </w:p>
    <w:p>
      <w:pPr>
        <w:pStyle w:val="Nivel2"/>
        <w:numPr>
          <w:ilvl w:val="0"/>
          <w:numId w:val="0"/>
        </w:numPr>
        <w:spacing w:lineRule="auto" w:line="312" w:before="120" w:after="288"/>
        <w:ind w:left="0" w:hanging="0"/>
        <w:rPr>
          <w:i/>
          <w:i/>
          <w:color w:val="FF0000"/>
        </w:rPr>
      </w:pPr>
      <w:r>
        <w:rPr/>
      </w:r>
    </w:p>
    <w:p>
      <w:pPr>
        <w:pStyle w:val="Nivel01"/>
        <w:numPr>
          <w:ilvl w:val="0"/>
          <w:numId w:val="24"/>
        </w:numPr>
        <w:spacing w:lineRule="auto" w:line="312" w:before="120" w:after="288"/>
        <w:ind w:left="0" w:hanging="0"/>
        <w:rPr>
          <w:color w:val="FFFFFF" w:themeColor="background1"/>
        </w:rPr>
      </w:pPr>
      <w:r>
        <w:rPr/>
        <w:t>CLÁUSULA QUINTA - PREÇO</w:t>
      </w:r>
    </w:p>
    <w:p>
      <w:pPr>
        <w:pStyle w:val="Nivel2"/>
        <w:numPr>
          <w:ilvl w:val="1"/>
          <w:numId w:val="25"/>
        </w:numPr>
        <w:spacing w:lineRule="auto" w:line="312" w:before="120" w:after="288"/>
        <w:ind w:left="0" w:firstLine="567"/>
        <w:rPr>
          <w:i w:val="false"/>
          <w:i w:val="false"/>
          <w:iCs w:val="false"/>
          <w:color w:val="auto"/>
        </w:rPr>
      </w:pPr>
      <w:r>
        <w:rPr>
          <w:i w:val="false"/>
          <w:iCs w:val="false"/>
          <w:color w:val="auto"/>
        </w:rPr>
        <w:t>O valor total da contratação é de R$.......... (..…).</w:t>
      </w:r>
    </w:p>
    <w:p>
      <w:pPr>
        <w:pStyle w:val="Nivel2"/>
        <w:numPr>
          <w:ilvl w:val="1"/>
          <w:numId w:val="26"/>
        </w:numPr>
        <w:spacing w:lineRule="auto" w:line="312" w:before="120" w:after="288"/>
        <w:ind w:left="0" w:firstLine="567"/>
        <w:rPr>
          <w:i w:val="false"/>
          <w:i w:val="false"/>
          <w:iCs w:val="false"/>
          <w:color w:val="auto"/>
        </w:rPr>
      </w:pPr>
      <w:r>
        <w:rPr>
          <w:i w:val="false"/>
          <w:iCs w:val="false"/>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2"/>
        <w:numPr>
          <w:ilvl w:val="1"/>
          <w:numId w:val="27"/>
        </w:numPr>
        <w:spacing w:lineRule="auto" w:line="312" w:before="120" w:after="288"/>
        <w:ind w:left="0" w:firstLine="567"/>
        <w:rPr>
          <w:i w:val="false"/>
          <w:i w:val="false"/>
          <w:iCs w:val="false"/>
          <w:color w:val="auto"/>
        </w:rPr>
      </w:pPr>
      <w:r>
        <w:rPr>
          <w:i w:val="false"/>
          <w:iCs w:val="false"/>
          <w:color w:val="auto"/>
        </w:rPr>
        <w:t>O valor acima é meramente estimativo, de forma que os pagamentos devidos ao contratado dependerão dos quantitativos efetivamente fornecidos.</w:t>
      </w:r>
    </w:p>
    <w:p>
      <w:pPr>
        <w:pStyle w:val="Nivel01"/>
        <w:numPr>
          <w:ilvl w:val="0"/>
          <w:numId w:val="28"/>
        </w:numPr>
        <w:spacing w:lineRule="auto" w:line="312" w:before="120" w:after="288"/>
        <w:ind w:left="0" w:hanging="0"/>
        <w:rPr>
          <w:color w:val="FFFFFF" w:themeColor="background1"/>
        </w:rPr>
      </w:pPr>
      <w:r>
        <w:rPr/>
        <w:t>CLÁUSULA SEXTA - PAGAMENTO</w:t>
      </w:r>
    </w:p>
    <w:p>
      <w:pPr>
        <w:pStyle w:val="Nivel2"/>
        <w:numPr>
          <w:ilvl w:val="1"/>
          <w:numId w:val="29"/>
        </w:numPr>
        <w:spacing w:lineRule="auto" w:line="312" w:before="120" w:after="288"/>
        <w:ind w:left="0" w:firstLine="567"/>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30"/>
        </w:numPr>
        <w:spacing w:lineRule="auto" w:line="312" w:before="120" w:after="288"/>
        <w:ind w:left="0" w:hanging="0"/>
        <w:rPr>
          <w:color w:val="FFFFFF" w:themeColor="background1"/>
        </w:rPr>
      </w:pPr>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t>)</w:t>
      </w:r>
    </w:p>
    <w:p>
      <w:pPr>
        <w:pStyle w:val="Nivel2"/>
        <w:numPr>
          <w:ilvl w:val="1"/>
          <w:numId w:val="31"/>
        </w:numPr>
        <w:spacing w:lineRule="auto" w:line="312" w:before="120" w:after="288"/>
        <w:ind w:left="0" w:firstLine="567"/>
        <w:rPr/>
      </w:pPr>
      <w:r>
        <w:rPr/>
        <w:t xml:space="preserve">Os preços inicialmente contratados são fixos e irreajustáveis no prazo de um ano contado da data do orçamento estimado, em </w:t>
      </w:r>
      <w:r>
        <w:rPr>
          <w:i/>
          <w:iCs/>
          <w:color w:val="FF0000"/>
          <w:shd w:fill="FFFF00" w:val="clear"/>
        </w:rPr>
        <w:t>__/__/__ (DD/MM/AAAA)</w:t>
      </w:r>
      <w:r>
        <w:rPr>
          <w:shd w:fill="FFFF00" w:val="clear"/>
        </w:rPr>
        <w:t>.</w:t>
      </w:r>
    </w:p>
    <w:p>
      <w:pPr>
        <w:pStyle w:val="Nivel2"/>
        <w:numPr>
          <w:ilvl w:val="1"/>
          <w:numId w:val="32"/>
        </w:numPr>
        <w:spacing w:lineRule="auto" w:line="312" w:before="120" w:after="288"/>
        <w:ind w:left="0" w:firstLine="567"/>
        <w:rPr/>
      </w:pPr>
      <w:r>
        <w:rPr/>
        <w:t>Após o interregno de um ano, e independentemente de pedido do contratado, os preços iniciais serão reajustados, mediante a aplicação, pelo contratante, do índice IPCA - Índice Nacional de Preços ao Consumidor Amplo, mantido pelo IBGE, acumulado em 12 (doze) meses</w:t>
      </w:r>
      <w:r>
        <w:rPr>
          <w:i/>
          <w:iCs/>
        </w:rPr>
        <w:t>,</w:t>
      </w:r>
      <w:r>
        <w:rPr/>
        <w:t xml:space="preserve"> exclusivamente para as obrigações iniciadas e concluídas após a ocorrência da anualidade.</w:t>
      </w:r>
    </w:p>
    <w:p>
      <w:pPr>
        <w:pStyle w:val="Nivel2"/>
        <w:numPr>
          <w:ilvl w:val="1"/>
          <w:numId w:val="33"/>
        </w:numPr>
        <w:spacing w:lineRule="auto" w:line="312" w:before="120" w:after="288"/>
        <w:ind w:left="0" w:firstLine="567"/>
        <w:rPr/>
      </w:pPr>
      <w:r>
        <w:rPr/>
        <w:t>Nos reajustes subsequentes ao primeiro, o interregno mínimo de um ano será contado a partir dos efeitos financeiros do último reajuste.</w:t>
      </w:r>
    </w:p>
    <w:p>
      <w:pPr>
        <w:pStyle w:val="Nivel2"/>
        <w:numPr>
          <w:ilvl w:val="1"/>
          <w:numId w:val="34"/>
        </w:numPr>
        <w:spacing w:lineRule="auto" w:line="312" w:before="120" w:after="288"/>
        <w:ind w:left="0" w:firstLine="567"/>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35"/>
        </w:numPr>
        <w:spacing w:lineRule="auto" w:line="312" w:before="120" w:after="288"/>
        <w:ind w:left="0" w:firstLine="567"/>
        <w:rPr/>
      </w:pPr>
      <w:r>
        <w:rPr/>
        <w:t>Nas aferições finais, o(s) índice(s) utilizado(s) para reajuste será(ão), obrigatoriamente, o(s) definitivo(s).</w:t>
      </w:r>
    </w:p>
    <w:p>
      <w:pPr>
        <w:pStyle w:val="Nivel2"/>
        <w:numPr>
          <w:ilvl w:val="1"/>
          <w:numId w:val="36"/>
        </w:numPr>
        <w:spacing w:lineRule="auto" w:line="312" w:before="120" w:after="288"/>
        <w:ind w:left="0" w:firstLine="567"/>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37"/>
        </w:numPr>
        <w:spacing w:lineRule="auto" w:line="312" w:before="120" w:after="288"/>
        <w:ind w:left="0" w:firstLine="567"/>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38"/>
        </w:numPr>
        <w:spacing w:lineRule="auto" w:line="312" w:before="120" w:after="288"/>
        <w:ind w:left="0" w:firstLine="567"/>
        <w:rPr/>
      </w:pPr>
      <w:r>
        <w:rPr/>
        <w:t>O reajuste será realizado por apostilamento.</w:t>
      </w:r>
    </w:p>
    <w:p>
      <w:pPr>
        <w:pStyle w:val="Nivel01"/>
        <w:numPr>
          <w:ilvl w:val="0"/>
          <w:numId w:val="39"/>
        </w:numPr>
        <w:spacing w:lineRule="auto" w:line="312" w:before="120" w:after="288"/>
        <w:ind w:left="0" w:hanging="0"/>
        <w:rPr>
          <w:color w:val="FFFFFF" w:themeColor="background1"/>
        </w:rPr>
      </w:pPr>
      <w:r>
        <w:rPr/>
        <w:t>CLÁUSULA OITAVA - OBRIGAÇÕES DO CONTRATANTE</w:t>
      </w:r>
    </w:p>
    <w:p>
      <w:pPr>
        <w:pStyle w:val="Nivel2"/>
        <w:numPr>
          <w:ilvl w:val="1"/>
          <w:numId w:val="40"/>
        </w:numPr>
        <w:spacing w:lineRule="auto" w:line="312" w:before="120" w:after="288"/>
        <w:ind w:left="0" w:firstLine="567"/>
        <w:rPr>
          <w:b/>
          <w:b/>
          <w:bCs/>
        </w:rPr>
      </w:pPr>
      <w:r>
        <w:rPr/>
        <w:t>São obrigações do Contratante:</w:t>
      </w:r>
    </w:p>
    <w:p>
      <w:pPr>
        <w:pStyle w:val="Nivel2"/>
        <w:numPr>
          <w:ilvl w:val="1"/>
          <w:numId w:val="41"/>
        </w:numPr>
        <w:spacing w:lineRule="auto" w:line="312" w:before="120" w:after="288"/>
        <w:ind w:left="0" w:firstLine="567"/>
        <w:rPr/>
      </w:pPr>
      <w:r>
        <w:rPr/>
        <w:t>Exigir o cumprimento de todas as obrigações assumidas pelo Contratado, de acordo com o contrato e seus anexos;</w:t>
      </w:r>
    </w:p>
    <w:p>
      <w:pPr>
        <w:pStyle w:val="Nivel2"/>
        <w:numPr>
          <w:ilvl w:val="1"/>
          <w:numId w:val="42"/>
        </w:numPr>
        <w:spacing w:lineRule="auto" w:line="312" w:before="120" w:after="288"/>
        <w:ind w:left="0" w:firstLine="567"/>
        <w:rPr/>
      </w:pPr>
      <w:r>
        <w:rPr/>
        <w:t>Receber o objeto no prazo e condições estabelecidas no Termo de Referência;</w:t>
      </w:r>
    </w:p>
    <w:p>
      <w:pPr>
        <w:pStyle w:val="Nivel2"/>
        <w:numPr>
          <w:ilvl w:val="1"/>
          <w:numId w:val="43"/>
        </w:numPr>
        <w:spacing w:lineRule="auto" w:line="312" w:before="120" w:after="288"/>
        <w:ind w:left="0" w:firstLine="567"/>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44"/>
        </w:numPr>
        <w:spacing w:lineRule="auto" w:line="312" w:before="120" w:after="288"/>
        <w:ind w:left="0" w:firstLine="567"/>
        <w:rPr/>
      </w:pPr>
      <w:r>
        <w:rPr/>
        <w:t>Acompanhar e fiscalizar a execução do contrato e o cumprimento das obrigações pelo Contratado;</w:t>
      </w:r>
    </w:p>
    <w:p>
      <w:pPr>
        <w:pStyle w:val="Nivel2"/>
        <w:numPr>
          <w:ilvl w:val="1"/>
          <w:numId w:val="45"/>
        </w:numPr>
        <w:spacing w:lineRule="auto" w:line="312" w:before="120" w:after="288"/>
        <w:ind w:left="0" w:firstLine="567"/>
        <w:rPr/>
      </w:pPr>
      <w:r>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46"/>
        </w:numPr>
        <w:spacing w:lineRule="auto" w:line="312" w:before="120" w:after="288"/>
        <w:ind w:left="0" w:firstLine="567"/>
        <w:rPr/>
      </w:pPr>
      <w:r>
        <w:rPr/>
        <w:t>Efetuar o pagamento ao Contratado do valor correspondente à execução do objeto, no prazo, forma e condições estabelecidos no presente Contrato e no Termo de Referência;</w:t>
      </w:r>
    </w:p>
    <w:p>
      <w:pPr>
        <w:pStyle w:val="Nivel2"/>
        <w:numPr>
          <w:ilvl w:val="1"/>
          <w:numId w:val="47"/>
        </w:numPr>
        <w:spacing w:lineRule="auto" w:line="312" w:before="120" w:after="288"/>
        <w:ind w:left="0" w:firstLine="567"/>
        <w:rPr/>
      </w:pPr>
      <w:r>
        <w:rPr/>
        <w:t xml:space="preserve">Aplicar ao Contratado as sanções previstas na lei e neste Contrato; </w:t>
      </w:r>
    </w:p>
    <w:p>
      <w:pPr>
        <w:pStyle w:val="Nivel2"/>
        <w:numPr>
          <w:ilvl w:val="1"/>
          <w:numId w:val="48"/>
        </w:numPr>
        <w:spacing w:lineRule="auto" w:line="312" w:before="120" w:after="288"/>
        <w:ind w:left="0" w:firstLine="567"/>
        <w:rPr/>
      </w:pPr>
      <w:r>
        <w:rPr/>
        <w:t>Cientificar o órgão de representação judicial da Advocacia-Geral da União para adoção das medidas cabíveis quando do descumprimento de obrigações pelo Contratado;</w:t>
      </w:r>
    </w:p>
    <w:p>
      <w:pPr>
        <w:pStyle w:val="Nivel2"/>
        <w:numPr>
          <w:ilvl w:val="1"/>
          <w:numId w:val="49"/>
        </w:numPr>
        <w:spacing w:lineRule="auto" w:line="312" w:before="120" w:after="288"/>
        <w:ind w:left="0" w:firstLine="567"/>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50"/>
        </w:numPr>
        <w:spacing w:lineRule="auto" w:line="312" w:before="120" w:after="288"/>
        <w:ind w:left="170" w:firstLine="709"/>
        <w:rPr>
          <w:b/>
          <w:b/>
          <w:bCs/>
        </w:rPr>
      </w:pPr>
      <w:r>
        <w:rPr/>
        <w:t xml:space="preserve"> </w:t>
      </w:r>
      <w:r>
        <w:rPr/>
        <w:t>A Administração terá o prazo de</w:t>
      </w:r>
      <w:r>
        <w:rPr>
          <w:i w:val="false"/>
          <w:iCs w:val="false"/>
          <w:color w:val="auto"/>
        </w:rPr>
        <w:t xml:space="preserve"> </w:t>
      </w:r>
      <w:r>
        <w:rPr>
          <w:i w:val="false"/>
          <w:iCs w:val="false"/>
          <w:color w:val="auto"/>
        </w:rPr>
        <w:t>30 (trinta) dias</w:t>
      </w:r>
      <w:r>
        <w:rPr>
          <w:i w:val="false"/>
          <w:iCs w:val="false"/>
          <w:color w:val="auto"/>
        </w:rPr>
        <w:t>,</w:t>
      </w:r>
      <w:r>
        <w:rPr/>
        <w:t xml:space="preserve"> a contar da data do protocolo do requerimento para decidir, admitida a prorrogação motivada, por igual período. </w:t>
      </w:r>
    </w:p>
    <w:p>
      <w:pPr>
        <w:pStyle w:val="Nivel2"/>
        <w:numPr>
          <w:ilvl w:val="1"/>
          <w:numId w:val="51"/>
        </w:numPr>
        <w:spacing w:lineRule="auto" w:line="312" w:before="120" w:after="288"/>
        <w:ind w:left="0" w:firstLine="567"/>
        <w:rPr>
          <w:color w:val="FF0000"/>
        </w:rPr>
      </w:pPr>
      <w:r>
        <w:rPr/>
        <w:t xml:space="preserve">Responder eventuais pedidos de reestabelecimento do equilíbrio econômico-financeiro feitos pelo contratado no prazo máximo de </w:t>
      </w:r>
      <w:r>
        <w:rPr/>
        <w:t>30 (trinta) dias.</w:t>
      </w:r>
    </w:p>
    <w:p>
      <w:pPr>
        <w:pStyle w:val="Nvel2Red"/>
        <w:numPr>
          <w:ilvl w:val="1"/>
          <w:numId w:val="52"/>
        </w:numPr>
        <w:spacing w:lineRule="auto" w:line="312" w:before="120" w:after="288"/>
        <w:ind w:left="0" w:firstLine="567"/>
        <w:rPr>
          <w:i w:val="false"/>
          <w:i w:val="false"/>
          <w:iCs w:val="false"/>
          <w:color w:val="auto"/>
        </w:rPr>
      </w:pPr>
      <w:bookmarkStart w:id="2" w:name="_Hlk114499841"/>
      <w:bookmarkEnd w:id="2"/>
      <w:r>
        <w:rPr>
          <w:i w:val="false"/>
          <w:iCs w:val="false"/>
          <w:color w:val="auto"/>
        </w:rPr>
        <w:t>Notificar os emitentes das garantias quanto ao início de processo administrativo para apuração de descumprimento de cláusulas contratuais.</w:t>
      </w:r>
    </w:p>
    <w:p>
      <w:pPr>
        <w:pStyle w:val="Nivel2"/>
        <w:numPr>
          <w:ilvl w:val="1"/>
          <w:numId w:val="53"/>
        </w:numPr>
        <w:spacing w:lineRule="auto" w:line="312" w:before="120" w:after="288"/>
        <w:ind w:left="0" w:firstLine="567"/>
        <w:rPr/>
      </w:pPr>
      <w:r>
        <w:rPr/>
        <w:t xml:space="preserve">Comunicar o Contratado na hipótese de posterior alteração do projeto pelo Contratante, no caso </w:t>
      </w:r>
      <w:r>
        <w:fldChar w:fldCharType="begin"/>
      </w:r>
      <w:r>
        <w:rPr>
          <w:rStyle w:val="LinkdaInternet"/>
        </w:rPr>
        <w:instrText> HYPERLINK "http://www.planalto.gov.br/ccivil_03/_ato2019-2022/2021/lei/L14133.htm" \l "art93§2"</w:instrText>
      </w:r>
      <w:r>
        <w:rPr>
          <w:rStyle w:val="LinkdaInternet"/>
        </w:rPr>
        <w:fldChar w:fldCharType="separate"/>
      </w:r>
      <w:r>
        <w:rPr>
          <w:rStyle w:val="LinkdaInternet"/>
        </w:rPr>
        <w:t>do art. 93, §2º, da Lei nº 14.133, de 2021</w:t>
      </w:r>
      <w:r>
        <w:rPr>
          <w:rStyle w:val="LinkdaInternet"/>
        </w:rPr>
        <w:fldChar w:fldCharType="end"/>
      </w:r>
      <w:r>
        <w:rPr/>
        <w:t>.</w:t>
      </w:r>
    </w:p>
    <w:p>
      <w:pPr>
        <w:pStyle w:val="Nivel2"/>
        <w:numPr>
          <w:ilvl w:val="1"/>
          <w:numId w:val="54"/>
        </w:numPr>
        <w:spacing w:lineRule="auto" w:line="312" w:before="120" w:after="288"/>
        <w:ind w:left="0" w:firstLine="567"/>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55"/>
        </w:numPr>
        <w:spacing w:lineRule="auto" w:line="312" w:before="120" w:after="288"/>
        <w:ind w:left="0" w:hanging="0"/>
        <w:rPr>
          <w:color w:val="FFFFFF" w:themeColor="background1"/>
        </w:rPr>
      </w:pPr>
      <w:r>
        <w:rPr/>
        <w:t>CLÁUSULA NONA - OBRIGAÇÕES DO CONTRATADO</w:t>
      </w:r>
    </w:p>
    <w:p>
      <w:pPr>
        <w:pStyle w:val="Nivel2"/>
        <w:numPr>
          <w:ilvl w:val="1"/>
          <w:numId w:val="56"/>
        </w:numPr>
        <w:spacing w:lineRule="auto" w:line="312" w:before="120" w:after="288"/>
        <w:ind w:left="0" w:firstLine="709"/>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57"/>
        </w:numPr>
        <w:spacing w:lineRule="auto" w:line="312" w:before="120" w:after="288"/>
        <w:ind w:left="0" w:firstLine="709"/>
        <w:rPr/>
      </w:pPr>
      <w:r>
        <w:rPr/>
        <w:t>Manter preposto aceito pela Administração no local da obra ou do serviço para representá-lo na execução do contrato.</w:t>
      </w:r>
    </w:p>
    <w:p>
      <w:pPr>
        <w:pStyle w:val="Nivel3"/>
        <w:numPr>
          <w:ilvl w:val="2"/>
          <w:numId w:val="58"/>
        </w:numPr>
        <w:spacing w:lineRule="auto" w:line="312" w:before="120" w:after="288"/>
        <w:ind w:left="170" w:firstLine="709"/>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59"/>
        </w:numPr>
        <w:spacing w:lineRule="auto" w:line="312" w:before="120" w:after="288"/>
        <w:ind w:left="0" w:firstLine="567"/>
        <w:rPr/>
      </w:pPr>
      <w:r>
        <w:rPr/>
        <w:t>Atender às determinações regulares emitidas pelo fiscal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w:t>
      </w:r>
      <w:r>
        <w:rPr>
          <w:rStyle w:val="LinkdaInternet"/>
        </w:rPr>
        <w:fldChar w:fldCharType="end"/>
      </w:r>
      <w:r>
        <w:rPr/>
        <w:t>);</w:t>
      </w:r>
    </w:p>
    <w:p>
      <w:pPr>
        <w:pStyle w:val="Nivel2"/>
        <w:numPr>
          <w:ilvl w:val="1"/>
          <w:numId w:val="60"/>
        </w:numPr>
        <w:spacing w:lineRule="auto" w:line="312" w:before="120" w:after="288"/>
        <w:ind w:left="0" w:firstLine="567"/>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61"/>
        </w:numPr>
        <w:spacing w:lineRule="auto" w:line="312" w:before="120" w:after="288"/>
        <w:ind w:left="0" w:firstLine="567"/>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62"/>
        </w:numPr>
        <w:spacing w:lineRule="auto" w:line="312" w:before="120" w:after="288"/>
        <w:ind w:left="0" w:firstLine="567"/>
        <w:rPr/>
      </w:pPr>
      <w:r>
        <w:rPr/>
        <w:t xml:space="preserve">Responsabilizar-se pelos vícios e danos decorrentes da execução do objeto, de acordo com o </w:t>
      </w:r>
      <w:hyperlink r:id="rId3">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63"/>
        </w:numPr>
        <w:spacing w:lineRule="auto" w:line="312" w:before="120" w:after="288"/>
        <w:ind w:left="0" w:firstLine="567"/>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rPr>
        <w:instrText> HYPERLINK "http://www.planalto.gov.br/ccivil_03/_ato2019-2022/2021/lei/L14133.htm" \l "art48"</w:instrText>
      </w:r>
      <w:r>
        <w:rPr>
          <w:rStyle w:val="LinkdaInternet"/>
        </w:rPr>
        <w:fldChar w:fldCharType="separate"/>
      </w:r>
      <w:r>
        <w:rPr>
          <w:rStyle w:val="LinkdaInternet"/>
        </w:rPr>
        <w:t>artigo 48, parágrafo único, da Lei nº 14.133, de 2021</w:t>
      </w:r>
      <w:r>
        <w:rPr>
          <w:rStyle w:val="LinkdaInternet"/>
        </w:rPr>
        <w:fldChar w:fldCharType="end"/>
      </w:r>
      <w:r>
        <w:rPr/>
        <w:t>;</w:t>
      </w:r>
    </w:p>
    <w:p>
      <w:pPr>
        <w:pStyle w:val="Nivel2"/>
        <w:numPr>
          <w:ilvl w:val="1"/>
          <w:numId w:val="64"/>
        </w:numPr>
        <w:spacing w:lineRule="auto" w:line="312" w:before="120" w:after="288"/>
        <w:ind w:left="0" w:firstLine="567"/>
        <w:rPr/>
      </w:pPr>
      <w:r>
        <w:rPr>
          <w:color w:val="000000" w:themeColor="text1"/>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65"/>
        </w:numPr>
        <w:spacing w:lineRule="auto" w:line="312" w:before="120" w:after="288"/>
        <w:ind w:left="0" w:firstLine="567"/>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66"/>
        </w:numPr>
        <w:spacing w:lineRule="auto" w:line="312" w:before="120" w:after="288"/>
        <w:ind w:left="0" w:firstLine="567"/>
        <w:rPr/>
      </w:pPr>
      <w:r>
        <w:rPr/>
        <w:t>Comunicar ao Fiscal do contrato, no prazo de 24 (vinte e quatro) horas, qualquer ocorrência anormal ou acidente que se verifique no local dos serviços.</w:t>
      </w:r>
    </w:p>
    <w:p>
      <w:pPr>
        <w:pStyle w:val="Nivel2"/>
        <w:numPr>
          <w:ilvl w:val="1"/>
          <w:numId w:val="67"/>
        </w:numPr>
        <w:spacing w:lineRule="auto" w:line="312" w:before="120" w:after="288"/>
        <w:ind w:left="0" w:firstLine="567"/>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68"/>
        </w:numPr>
        <w:spacing w:lineRule="auto" w:line="312" w:before="120" w:after="288"/>
        <w:ind w:left="0" w:firstLine="567"/>
        <w:rPr/>
      </w:pPr>
      <w:r>
        <w:rPr/>
        <w:t>Paralisar, por determinação do Contratante, qualquer atividade que não esteja sendo executada de acordo com a boa técnica ou que ponha em risco a segurança de pessoas ou bens de terceiros.</w:t>
      </w:r>
    </w:p>
    <w:p>
      <w:pPr>
        <w:pStyle w:val="Nivel2"/>
        <w:numPr>
          <w:ilvl w:val="1"/>
          <w:numId w:val="69"/>
        </w:numPr>
        <w:spacing w:lineRule="auto" w:line="312" w:before="120" w:after="288"/>
        <w:ind w:left="0" w:firstLine="567"/>
        <w:rPr/>
      </w:pPr>
      <w:r>
        <w:rPr/>
        <w:t>Promover a guarda, manutenção e vigilância de materiais, ferramentas, e tudo o que for necessário à execução do objeto, durante a vigência do contrato.</w:t>
      </w:r>
    </w:p>
    <w:p>
      <w:pPr>
        <w:pStyle w:val="Nivel2"/>
        <w:numPr>
          <w:ilvl w:val="1"/>
          <w:numId w:val="70"/>
        </w:numPr>
        <w:spacing w:lineRule="auto" w:line="312" w:before="120" w:after="288"/>
        <w:ind w:left="0" w:firstLine="567"/>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71"/>
        </w:numPr>
        <w:spacing w:lineRule="auto" w:line="312" w:before="120" w:after="288"/>
        <w:ind w:left="0" w:firstLine="567"/>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72"/>
        </w:numPr>
        <w:spacing w:lineRule="auto" w:line="312" w:before="120" w:after="288"/>
        <w:ind w:left="0" w:firstLine="567"/>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73"/>
        </w:numPr>
        <w:spacing w:lineRule="auto" w:line="312" w:before="120" w:after="288"/>
        <w:ind w:left="0" w:firstLine="567"/>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74"/>
        </w:numPr>
        <w:spacing w:lineRule="auto" w:line="312" w:before="120" w:after="288"/>
        <w:ind w:left="0" w:firstLine="567"/>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w:t>
      </w:r>
      <w:r>
        <w:rPr>
          <w:rStyle w:val="LinkdaInternet"/>
        </w:rPr>
        <w:fldChar w:fldCharType="end"/>
      </w:r>
      <w:r>
        <w:rPr/>
        <w:t>);</w:t>
      </w:r>
    </w:p>
    <w:p>
      <w:pPr>
        <w:pStyle w:val="Nivel2"/>
        <w:numPr>
          <w:ilvl w:val="1"/>
          <w:numId w:val="75"/>
        </w:numPr>
        <w:spacing w:lineRule="auto" w:line="312" w:before="120" w:after="288"/>
        <w:ind w:left="0" w:firstLine="567"/>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w:t>
      </w:r>
      <w:r>
        <w:rPr>
          <w:rStyle w:val="LinkdaInternet"/>
        </w:rPr>
        <w:fldChar w:fldCharType="end"/>
      </w:r>
      <w:r>
        <w:rPr/>
        <w:t>);</w:t>
      </w:r>
    </w:p>
    <w:p>
      <w:pPr>
        <w:pStyle w:val="Nivel2"/>
        <w:numPr>
          <w:ilvl w:val="1"/>
          <w:numId w:val="76"/>
        </w:numPr>
        <w:spacing w:lineRule="auto" w:line="312" w:before="120" w:after="288"/>
        <w:ind w:left="0" w:firstLine="567"/>
        <w:rPr/>
      </w:pPr>
      <w:r>
        <w:rPr/>
        <w:t>Guardar sigilo sobre todas as informações obtidas em decorrência do cumprimento do contrato;</w:t>
      </w:r>
    </w:p>
    <w:p>
      <w:pPr>
        <w:pStyle w:val="Nivel2"/>
        <w:numPr>
          <w:ilvl w:val="1"/>
          <w:numId w:val="77"/>
        </w:numPr>
        <w:spacing w:lineRule="auto" w:line="312" w:before="120" w:after="288"/>
        <w:ind w:left="0" w:firstLine="567"/>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r>
        <w:rPr/>
        <w:t>;</w:t>
      </w:r>
    </w:p>
    <w:p>
      <w:pPr>
        <w:pStyle w:val="Nivel2"/>
        <w:numPr>
          <w:ilvl w:val="1"/>
          <w:numId w:val="78"/>
        </w:numPr>
        <w:spacing w:lineRule="auto" w:line="312" w:before="120" w:after="288"/>
        <w:ind w:left="0" w:firstLine="567"/>
        <w:rPr/>
      </w:pPr>
      <w:r>
        <w:rPr/>
        <w:t>Cumprir, além dos postulados legais vigentes de âmbito federal, estadual ou municipal, as normas de segurança do Contratante;</w:t>
      </w:r>
    </w:p>
    <w:p>
      <w:pPr>
        <w:pStyle w:val="Nivel2"/>
        <w:numPr>
          <w:ilvl w:val="1"/>
          <w:numId w:val="79"/>
        </w:numPr>
        <w:spacing w:lineRule="auto" w:line="312" w:before="120" w:after="288"/>
        <w:ind w:left="0" w:firstLine="567"/>
        <w:rPr>
          <w:i w:val="false"/>
          <w:i w:val="false"/>
          <w:iCs w:val="false"/>
          <w:color w:val="auto"/>
        </w:rPr>
      </w:pPr>
      <w:r>
        <w:rPr>
          <w:i w:val="false"/>
          <w:iCs w:val="false"/>
          <w:color w:val="auto"/>
        </w:rPr>
        <w:t>Realizar os serviços de manutenção e assistência técnica no seguinte local: Avenida Filogônio Peixoto, nº 2.220, Município de Linhares, Estado do Espírito Santo, CEP 29.901-291.</w:t>
      </w:r>
    </w:p>
    <w:p>
      <w:pPr>
        <w:pStyle w:val="Nivel01"/>
        <w:numPr>
          <w:ilvl w:val="0"/>
          <w:numId w:val="80"/>
        </w:numPr>
        <w:spacing w:lineRule="auto" w:line="312" w:before="120" w:after="288"/>
        <w:ind w:left="0" w:hanging="0"/>
        <w:rPr>
          <w:i w:val="false"/>
          <w:i w:val="false"/>
          <w:iCs w:val="false"/>
          <w:color w:val="auto"/>
        </w:rPr>
      </w:pPr>
      <w:r>
        <w:rPr>
          <w:i w:val="false"/>
          <w:iCs w:val="false"/>
          <w:color w:val="auto"/>
        </w:rPr>
        <w:t>CLÁUSULA DÉCIMA- OBRIGAÇÕES PERTINENTES À LGPD</w:t>
      </w:r>
    </w:p>
    <w:p>
      <w:pPr>
        <w:pStyle w:val="Nvel2Red"/>
        <w:numPr>
          <w:ilvl w:val="1"/>
          <w:numId w:val="81"/>
        </w:numPr>
        <w:spacing w:lineRule="auto" w:line="312" w:before="120" w:after="288"/>
        <w:ind w:left="0" w:firstLine="567"/>
        <w:rPr/>
      </w:pPr>
      <w:r>
        <w:rPr>
          <w:i w:val="false"/>
          <w:iCs w:val="false"/>
          <w:color w:val="auto"/>
        </w:rPr>
        <w:t xml:space="preserve">As partes deverão cumprir a </w:t>
      </w:r>
      <w:hyperlink r:id="rId4">
        <w:r>
          <w:rPr>
            <w:rStyle w:val="LinkdaInternet"/>
            <w:i w:val="false"/>
            <w:iCs w:val="false"/>
            <w:color w:val="auto"/>
          </w:rPr>
          <w:t>Lei nº 13.709, de 14 de agosto de 2018 (LGPD)</w:t>
        </w:r>
      </w:hyperlink>
      <w:r>
        <w:rPr>
          <w:i w:val="false"/>
          <w:iCs w:val="false"/>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82"/>
        </w:numPr>
        <w:spacing w:lineRule="auto" w:line="312" w:before="120" w:after="288"/>
        <w:ind w:left="0" w:firstLine="567"/>
        <w:rPr/>
      </w:pPr>
      <w:r>
        <w:rPr>
          <w:i w:val="false"/>
          <w:iCs w:val="false"/>
          <w:color w:val="auto"/>
        </w:rPr>
        <w:t xml:space="preserve">Os dados obtidos somente poderão ser utilizados para as finalidades que justificaram seu acesso e de acordo com a boa-fé e com os princípios do </w:t>
      </w:r>
      <w:r>
        <w:fldChar w:fldCharType="begin"/>
      </w:r>
      <w:r>
        <w:rPr>
          <w:rStyle w:val="LinkdaInternet"/>
          <w:i w:val="false"/>
          <w:iCs w:val="false"/>
          <w:color w:val="auto"/>
        </w:rPr>
        <w:instrText> HYPERLINK "https://www.planalto.gov.br/ccivil_03/_ato2015-2018/2018/lei/l13709.htm" \l "art6"</w:instrText>
      </w:r>
      <w:r>
        <w:rPr>
          <w:rStyle w:val="LinkdaInternet"/>
          <w:i w:val="false"/>
          <w:iCs w:val="false"/>
          <w:color w:val="auto"/>
        </w:rPr>
        <w:fldChar w:fldCharType="separate"/>
      </w:r>
      <w:r>
        <w:rPr>
          <w:rStyle w:val="LinkdaInternet"/>
          <w:i w:val="false"/>
          <w:iCs w:val="false"/>
          <w:color w:val="auto"/>
        </w:rPr>
        <w:t>art. 6º da LGPD</w:t>
      </w:r>
      <w:r>
        <w:rPr>
          <w:rStyle w:val="LinkdaInternet"/>
          <w:i w:val="false"/>
          <w:iCs w:val="false"/>
          <w:color w:val="auto"/>
        </w:rPr>
        <w:fldChar w:fldCharType="end"/>
      </w:r>
      <w:r>
        <w:rPr>
          <w:i w:val="false"/>
          <w:iCs w:val="false"/>
          <w:color w:val="auto"/>
        </w:rPr>
        <w:t xml:space="preserve">. </w:t>
      </w:r>
    </w:p>
    <w:p>
      <w:pPr>
        <w:pStyle w:val="Nvel2Red"/>
        <w:numPr>
          <w:ilvl w:val="1"/>
          <w:numId w:val="83"/>
        </w:numPr>
        <w:spacing w:lineRule="auto" w:line="312" w:before="120" w:after="288"/>
        <w:ind w:left="0" w:firstLine="567"/>
        <w:rPr>
          <w:i w:val="false"/>
          <w:i w:val="false"/>
          <w:iCs w:val="false"/>
          <w:color w:val="auto"/>
        </w:rPr>
      </w:pPr>
      <w:r>
        <w:rPr>
          <w:i w:val="false"/>
          <w:iCs w:val="false"/>
          <w:color w:val="auto"/>
        </w:rPr>
        <w:t>É vedado o compartilhamento com terceiros dos dados obtidos fora das hipóteses permitidas em Lei.</w:t>
      </w:r>
    </w:p>
    <w:p>
      <w:pPr>
        <w:pStyle w:val="Nvel2Red"/>
        <w:numPr>
          <w:ilvl w:val="1"/>
          <w:numId w:val="84"/>
        </w:numPr>
        <w:spacing w:lineRule="auto" w:line="312" w:before="120" w:after="288"/>
        <w:ind w:left="0" w:firstLine="567"/>
        <w:rPr/>
      </w:pPr>
      <w:r>
        <w:rPr>
          <w:i w:val="false"/>
          <w:iCs w:val="false"/>
          <w:color w:val="auto"/>
        </w:rPr>
        <w:t xml:space="preserve">Terminado o tratamento dos dados nos termos do </w:t>
      </w:r>
      <w:r>
        <w:fldChar w:fldCharType="begin"/>
      </w:r>
      <w:r>
        <w:rPr>
          <w:rStyle w:val="LinkdaInternet"/>
          <w:i w:val="false"/>
          <w:iCs w:val="false"/>
          <w:color w:val="auto"/>
        </w:rPr>
        <w:instrText> HYPERLINK "https://www.planalto.gov.br/ccivil_03/_ato2015-2018/2018/lei/l13709.htm" \l "art15"</w:instrText>
      </w:r>
      <w:r>
        <w:rPr>
          <w:rStyle w:val="LinkdaInternet"/>
          <w:i w:val="false"/>
          <w:iCs w:val="false"/>
          <w:color w:val="auto"/>
        </w:rPr>
        <w:fldChar w:fldCharType="separate"/>
      </w:r>
      <w:r>
        <w:rPr>
          <w:rStyle w:val="LinkdaInternet"/>
          <w:i w:val="false"/>
          <w:iCs w:val="false"/>
          <w:color w:val="auto"/>
        </w:rPr>
        <w:t>art. 15 da LGPD</w:t>
      </w:r>
      <w:r>
        <w:rPr>
          <w:rStyle w:val="LinkdaInternet"/>
          <w:i w:val="false"/>
          <w:iCs w:val="false"/>
          <w:color w:val="auto"/>
        </w:rPr>
        <w:fldChar w:fldCharType="end"/>
      </w:r>
      <w:r>
        <w:rPr>
          <w:i w:val="false"/>
          <w:iCs w:val="false"/>
          <w:color w:val="auto"/>
        </w:rPr>
        <w:t xml:space="preserve">, é dever do contratado eliminá-los, com exceção das hipóteses do </w:t>
      </w:r>
      <w:r>
        <w:fldChar w:fldCharType="begin"/>
      </w:r>
      <w:r>
        <w:rPr>
          <w:rStyle w:val="LinkdaInternet"/>
          <w:i w:val="false"/>
          <w:iCs w:val="false"/>
          <w:color w:val="auto"/>
        </w:rPr>
        <w:instrText> HYPERLINK "https://www.planalto.gov.br/ccivil_03/_ato2015-2018/2018/lei/l13709.htm" \l "art16"</w:instrText>
      </w:r>
      <w:r>
        <w:rPr>
          <w:rStyle w:val="LinkdaInternet"/>
          <w:i w:val="false"/>
          <w:iCs w:val="false"/>
          <w:color w:val="auto"/>
        </w:rPr>
        <w:fldChar w:fldCharType="separate"/>
      </w:r>
      <w:r>
        <w:rPr>
          <w:rStyle w:val="LinkdaInternet"/>
          <w:i w:val="false"/>
          <w:iCs w:val="false"/>
          <w:color w:val="auto"/>
        </w:rPr>
        <w:t>art. 16 da LGPD</w:t>
      </w:r>
      <w:r>
        <w:rPr>
          <w:rStyle w:val="LinkdaInternet"/>
          <w:i w:val="false"/>
          <w:iCs w:val="false"/>
          <w:color w:val="auto"/>
        </w:rPr>
        <w:fldChar w:fldCharType="end"/>
      </w:r>
      <w:r>
        <w:rPr>
          <w:i w:val="false"/>
          <w:iCs w:val="false"/>
          <w:color w:val="auto"/>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85"/>
        </w:numPr>
        <w:spacing w:lineRule="auto" w:line="312" w:before="120" w:after="288"/>
        <w:ind w:left="0" w:firstLine="567"/>
        <w:rPr>
          <w:i w:val="false"/>
          <w:i w:val="false"/>
          <w:iCs w:val="false"/>
          <w:color w:val="auto"/>
        </w:rPr>
      </w:pPr>
      <w:r>
        <w:rPr>
          <w:i w:val="false"/>
          <w:iCs w:val="false"/>
          <w:color w:val="auto"/>
        </w:rPr>
        <w:t xml:space="preserve">É dever do contratado orientar e treinar seus empregados sobre os deveres, requisitos e responsabilidades decorrentes da LGPD. </w:t>
      </w:r>
    </w:p>
    <w:p>
      <w:pPr>
        <w:pStyle w:val="Nvel2Red"/>
        <w:numPr>
          <w:ilvl w:val="1"/>
          <w:numId w:val="86"/>
        </w:numPr>
        <w:spacing w:lineRule="auto" w:line="312" w:before="120" w:after="288"/>
        <w:ind w:left="0" w:firstLine="567"/>
        <w:rPr>
          <w:i w:val="false"/>
          <w:i w:val="false"/>
          <w:iCs w:val="false"/>
          <w:color w:val="auto"/>
        </w:rPr>
      </w:pPr>
      <w:r>
        <w:rPr>
          <w:i w:val="false"/>
          <w:iCs w:val="false"/>
          <w:color w:val="auto"/>
        </w:rPr>
        <w:t xml:space="preserve">O Contratante poderá realizar diligência para aferir o cumprimento dessa cláusula, devendo o Contratado atender prontamente eventuais pedidos de comprovação formulados. </w:t>
      </w:r>
    </w:p>
    <w:p>
      <w:pPr>
        <w:pStyle w:val="Nvel2Red"/>
        <w:numPr>
          <w:ilvl w:val="1"/>
          <w:numId w:val="87"/>
        </w:numPr>
        <w:spacing w:lineRule="auto" w:line="312" w:before="120" w:after="288"/>
        <w:ind w:left="0" w:firstLine="567"/>
        <w:rPr>
          <w:i w:val="false"/>
          <w:i w:val="false"/>
          <w:iCs w:val="false"/>
          <w:color w:val="auto"/>
        </w:rPr>
      </w:pPr>
      <w:r>
        <w:rPr>
          <w:i w:val="false"/>
          <w:iCs w:val="false"/>
          <w:color w:val="auto"/>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88"/>
        </w:numPr>
        <w:spacing w:lineRule="auto" w:line="312" w:before="120" w:after="288"/>
        <w:ind w:left="0" w:firstLine="567"/>
        <w:rPr>
          <w:i w:val="false"/>
          <w:i w:val="false"/>
          <w:iCs w:val="false"/>
          <w:color w:val="auto"/>
        </w:rPr>
      </w:pPr>
      <w:r>
        <w:rPr>
          <w:i w:val="false"/>
          <w:iCs w:val="false"/>
          <w:color w:val="auto"/>
        </w:rPr>
        <w:t>O contrato está sujeito a ser alterado nos procedimentos pertinentes ao tratamento de dados pessoais, quando indicado pela autoridade competente, em especial a ANPD por meio de opiniões técnicas ou recomendações, editadas na forma da LGPD.</w:t>
      </w:r>
    </w:p>
    <w:p>
      <w:pPr>
        <w:pStyle w:val="Nivel01"/>
        <w:numPr>
          <w:ilvl w:val="0"/>
          <w:numId w:val="89"/>
        </w:numPr>
        <w:spacing w:lineRule="auto" w:line="312" w:before="120" w:after="288"/>
        <w:ind w:left="0" w:hanging="0"/>
        <w:rPr>
          <w:color w:val="FFFFFF" w:themeColor="background1"/>
        </w:rPr>
      </w:pPr>
      <w:r>
        <w:rPr/>
        <w:t>CLÁUSULA DÉCIMA PRIMEIRA – GARANTIA DE EXECUÇÃO</w:t>
      </w:r>
    </w:p>
    <w:p>
      <w:pPr>
        <w:pStyle w:val="Nivel2"/>
        <w:numPr>
          <w:ilvl w:val="1"/>
          <w:numId w:val="90"/>
        </w:numPr>
        <w:spacing w:lineRule="auto" w:line="312" w:before="120" w:after="288"/>
        <w:ind w:left="0" w:firstLine="567"/>
        <w:rPr/>
      </w:pPr>
      <w:r>
        <w:rPr>
          <w:i w:val="false"/>
          <w:iCs w:val="false"/>
          <w:color w:val="auto"/>
        </w:rPr>
        <w:t xml:space="preserve">A contratação conta com garantia de execução, nos moldes do </w:t>
      </w:r>
      <w:r>
        <w:fldChar w:fldCharType="begin"/>
      </w:r>
      <w:r>
        <w:rPr>
          <w:rStyle w:val="LinkdaInternet"/>
          <w:i w:val="false"/>
          <w:iCs w:val="false"/>
          <w:color w:val="auto"/>
        </w:rPr>
        <w:instrText> HYPERLINK "http://www.planalto.gov.br/ccivil_03/_ato2019-2022/2021/lei/L14133.htm" \l "art96"</w:instrText>
      </w:r>
      <w:r>
        <w:rPr>
          <w:rStyle w:val="LinkdaInternet"/>
          <w:i w:val="false"/>
          <w:iCs w:val="false"/>
          <w:color w:val="auto"/>
        </w:rPr>
        <w:fldChar w:fldCharType="separate"/>
      </w:r>
      <w:r>
        <w:rPr>
          <w:rStyle w:val="LinkdaInternet"/>
          <w:i w:val="false"/>
          <w:iCs w:val="false"/>
          <w:color w:val="auto"/>
        </w:rPr>
        <w:t>art. 96 da Lei nº 14.133, de 2021</w:t>
      </w:r>
      <w:r>
        <w:rPr>
          <w:rStyle w:val="LinkdaInternet"/>
          <w:i w:val="false"/>
          <w:iCs w:val="false"/>
          <w:color w:val="auto"/>
        </w:rPr>
        <w:fldChar w:fldCharType="end"/>
      </w:r>
      <w:r>
        <w:rPr>
          <w:i w:val="false"/>
          <w:iCs w:val="false"/>
          <w:color w:val="auto"/>
        </w:rPr>
        <w:t xml:space="preserve">, em valor correspondente a </w:t>
      </w:r>
      <w:r>
        <w:rPr>
          <w:i w:val="false"/>
          <w:iCs w:val="false"/>
          <w:color w:val="auto"/>
        </w:rPr>
        <w:t>5</w:t>
      </w:r>
      <w:r>
        <w:rPr>
          <w:i w:val="false"/>
          <w:iCs w:val="false"/>
          <w:color w:val="auto"/>
        </w:rPr>
        <w:t>% (</w:t>
      </w:r>
      <w:r>
        <w:rPr>
          <w:i w:val="false"/>
          <w:iCs w:val="false"/>
          <w:color w:val="auto"/>
        </w:rPr>
        <w:t>cinco</w:t>
      </w:r>
      <w:r>
        <w:rPr>
          <w:i w:val="false"/>
          <w:iCs w:val="false"/>
          <w:color w:val="auto"/>
        </w:rPr>
        <w:t xml:space="preserve"> por cento) do valor inicial/total/anual do contrato.</w:t>
      </w:r>
    </w:p>
    <w:p>
      <w:pPr>
        <w:pStyle w:val="Nvel2Red"/>
        <w:numPr>
          <w:ilvl w:val="1"/>
          <w:numId w:val="91"/>
        </w:numPr>
        <w:spacing w:lineRule="auto" w:line="312" w:before="120" w:after="288"/>
        <w:ind w:left="0" w:firstLine="567"/>
        <w:rPr>
          <w:i w:val="false"/>
          <w:i w:val="false"/>
          <w:iCs w:val="false"/>
          <w:color w:val="auto"/>
        </w:rPr>
      </w:pPr>
      <w:r>
        <w:rPr>
          <w:i w:val="false"/>
          <w:iCs w:val="false"/>
          <w:color w:val="auto"/>
        </w:rPr>
        <w:t>Caso utili</w:t>
      </w:r>
      <w:r>
        <w:rPr>
          <w:i w:val="false"/>
          <w:iCs w:val="false"/>
          <w:color w:val="auto"/>
          <w:lang w:eastAsia="en-US"/>
        </w:rPr>
        <w:t xml:space="preserve">zada a modalidade </w:t>
      </w:r>
      <w:r>
        <w:rPr>
          <w:i w:val="false"/>
          <w:iCs w:val="false"/>
          <w:color w:val="auto"/>
        </w:rPr>
        <w:t xml:space="preserve">de seguro-garantia, a apólice deverá ter validade durante a vigência do contrato E por </w:t>
      </w:r>
      <w:r>
        <w:rPr>
          <w:i w:val="false"/>
          <w:iCs w:val="false"/>
          <w:color w:val="auto"/>
        </w:rPr>
        <w:t xml:space="preserve">90 (noventa) </w:t>
      </w:r>
      <w:r>
        <w:rPr>
          <w:i w:val="false"/>
          <w:iCs w:val="false"/>
          <w:color w:val="auto"/>
        </w:rPr>
        <w:t>dias após o término da vigência contratual, permanecendo em vigor mesmo que o contratado não pague o prêmio nas datas convencionadas.</w:t>
      </w:r>
    </w:p>
    <w:p>
      <w:pPr>
        <w:pStyle w:val="Nvel2Red"/>
        <w:numPr>
          <w:ilvl w:val="1"/>
          <w:numId w:val="92"/>
        </w:numPr>
        <w:spacing w:lineRule="auto" w:line="312" w:before="120" w:after="288"/>
        <w:ind w:left="0" w:firstLine="567"/>
        <w:rPr>
          <w:i w:val="false"/>
          <w:i w:val="false"/>
          <w:iCs w:val="false"/>
          <w:color w:val="auto"/>
        </w:rPr>
      </w:pPr>
      <w:r>
        <w:rPr>
          <w:i w:val="false"/>
          <w:iCs w:val="false"/>
          <w:color w:val="auto"/>
        </w:rPr>
        <w:t>A apólice do seguro garantia deverá acompanhar as modificações referentes à vigência do contrato principal mediante a emissão do respectivo endosso pela seguradora.</w:t>
      </w:r>
    </w:p>
    <w:p>
      <w:pPr>
        <w:pStyle w:val="Nivel2"/>
        <w:numPr>
          <w:ilvl w:val="1"/>
          <w:numId w:val="93"/>
        </w:numPr>
        <w:spacing w:lineRule="auto" w:line="312" w:before="120" w:after="288"/>
        <w:ind w:left="0" w:firstLine="567"/>
        <w:rPr>
          <w:i w:val="false"/>
          <w:i w:val="false"/>
          <w:iCs w:val="false"/>
          <w:color w:val="auto"/>
        </w:rPr>
      </w:pPr>
      <w:r>
        <w:rPr>
          <w:i w:val="false"/>
          <w:iCs w:val="false"/>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Pr>
          <w:i w:val="false"/>
          <w:iCs w:val="false"/>
          <w:color w:val="auto"/>
        </w:rPr>
        <w:fldChar w:fldCharType="begin"/>
      </w:r>
      <w:r>
        <w:rPr>
          <w:i w:val="false"/>
          <w:iCs w:val="false"/>
          <w:color w:val="auto"/>
        </w:rPr>
        <w:instrText> REF _Ref118297051 \r \h </w:instrText>
      </w:r>
      <w:r>
        <w:rPr>
          <w:i w:val="false"/>
          <w:iCs w:val="false"/>
          <w:color w:val="auto"/>
        </w:rPr>
        <w:fldChar w:fldCharType="separate"/>
      </w:r>
      <w:r>
        <w:rPr>
          <w:i w:val="false"/>
          <w:iCs w:val="false"/>
          <w:color w:val="auto"/>
        </w:rPr>
        <w:t>11.6.</w:t>
      </w:r>
      <w:r>
        <w:rPr>
          <w:i w:val="false"/>
          <w:iCs w:val="false"/>
          <w:color w:val="auto"/>
        </w:rPr>
        <w:fldChar w:fldCharType="end"/>
      </w:r>
      <w:r>
        <w:rPr>
          <w:i w:val="false"/>
          <w:iCs w:val="false"/>
          <w:color w:val="auto"/>
        </w:rPr>
        <w:t xml:space="preserve"> deste contrato.</w:t>
      </w:r>
    </w:p>
    <w:p>
      <w:pPr>
        <w:pStyle w:val="Nivel2"/>
        <w:numPr>
          <w:ilvl w:val="1"/>
          <w:numId w:val="94"/>
        </w:numPr>
        <w:spacing w:lineRule="auto" w:line="312" w:before="120" w:after="288"/>
        <w:ind w:left="0" w:firstLine="567"/>
        <w:rPr>
          <w:i w:val="false"/>
          <w:i w:val="false"/>
          <w:iCs w:val="false"/>
          <w:color w:val="auto"/>
        </w:rPr>
      </w:pPr>
      <w:r>
        <w:rPr>
          <w:i w:val="false"/>
          <w:iCs w:val="false"/>
          <w:color w:val="auto"/>
        </w:rPr>
        <w:t>Caso utilizada outra modalidade de garantia, somente será liberada ou restituída após a fiel execução do contrato ou após a sua extinção por culpa exclusiva da Administração e, quando em dinheiro, será atualizada monetariamente.</w:t>
      </w:r>
    </w:p>
    <w:p>
      <w:pPr>
        <w:pStyle w:val="Nivel2"/>
        <w:numPr>
          <w:ilvl w:val="1"/>
          <w:numId w:val="95"/>
        </w:numPr>
        <w:spacing w:lineRule="auto" w:line="312" w:before="120" w:after="288"/>
        <w:ind w:left="0" w:firstLine="567"/>
        <w:rPr>
          <w:i w:val="false"/>
          <w:i w:val="false"/>
          <w:iCs w:val="false"/>
          <w:color w:val="auto"/>
        </w:rPr>
      </w:pPr>
      <w:bookmarkStart w:id="3" w:name="_Ref118297051"/>
      <w:r>
        <w:rPr>
          <w:i w:val="false"/>
          <w:iCs w:val="false"/>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3"/>
    </w:p>
    <w:p>
      <w:pPr>
        <w:pStyle w:val="Nivel2"/>
        <w:numPr>
          <w:ilvl w:val="1"/>
          <w:numId w:val="96"/>
        </w:numPr>
        <w:spacing w:lineRule="auto" w:line="312" w:before="120" w:after="288"/>
        <w:ind w:left="0" w:firstLine="567"/>
        <w:rPr>
          <w:i w:val="false"/>
          <w:i w:val="false"/>
          <w:iCs w:val="false"/>
          <w:color w:val="auto"/>
        </w:rPr>
      </w:pPr>
      <w:bookmarkStart w:id="4" w:name="_Ref118297166"/>
      <w:r>
        <w:rPr>
          <w:i w:val="false"/>
          <w:iCs w:val="false"/>
          <w:color w:val="auto"/>
        </w:rPr>
        <w:t>A garantia assegurará, qualquer que seja a modalidade escolhida, o pagamento de:</w:t>
      </w:r>
      <w:bookmarkEnd w:id="4"/>
      <w:r>
        <w:rPr>
          <w:i w:val="false"/>
          <w:iCs w:val="false"/>
          <w:color w:val="auto"/>
        </w:rPr>
        <w:t xml:space="preserve"> </w:t>
      </w:r>
    </w:p>
    <w:p>
      <w:pPr>
        <w:pStyle w:val="Nvel3R"/>
        <w:numPr>
          <w:ilvl w:val="2"/>
          <w:numId w:val="97"/>
        </w:numPr>
        <w:spacing w:lineRule="auto" w:line="312" w:before="120" w:after="288"/>
        <w:ind w:left="170" w:firstLine="709"/>
        <w:rPr>
          <w:i w:val="false"/>
          <w:i w:val="false"/>
          <w:iCs w:val="false"/>
          <w:color w:val="auto"/>
        </w:rPr>
      </w:pPr>
      <w:r>
        <w:rPr>
          <w:i w:val="false"/>
          <w:iCs w:val="false"/>
          <w:color w:val="auto"/>
        </w:rPr>
        <w:t xml:space="preserve">prejuízos advindos do não cumprimento do objeto do contrato e do não adimplemento das demais obrigações nele previstas; </w:t>
      </w:r>
    </w:p>
    <w:p>
      <w:pPr>
        <w:pStyle w:val="Nvel3R"/>
        <w:numPr>
          <w:ilvl w:val="2"/>
          <w:numId w:val="98"/>
        </w:numPr>
        <w:spacing w:lineRule="auto" w:line="312" w:before="120" w:after="288"/>
        <w:ind w:left="170" w:firstLine="709"/>
        <w:rPr>
          <w:i w:val="false"/>
          <w:i w:val="false"/>
          <w:iCs w:val="false"/>
          <w:color w:val="auto"/>
        </w:rPr>
      </w:pPr>
      <w:r>
        <w:rPr>
          <w:i w:val="false"/>
          <w:iCs w:val="false"/>
          <w:color w:val="auto"/>
        </w:rPr>
        <w:t xml:space="preserve">multas moratórias e punitivas aplicadas pela Administração à contratada; e  </w:t>
      </w:r>
    </w:p>
    <w:p>
      <w:pPr>
        <w:pStyle w:val="Nvel3R"/>
        <w:numPr>
          <w:ilvl w:val="2"/>
          <w:numId w:val="99"/>
        </w:numPr>
        <w:spacing w:lineRule="auto" w:line="312" w:before="120" w:after="288"/>
        <w:ind w:left="170" w:firstLine="709"/>
        <w:rPr>
          <w:i w:val="false"/>
          <w:i w:val="false"/>
          <w:iCs w:val="false"/>
          <w:color w:val="auto"/>
        </w:rPr>
      </w:pPr>
      <w:r>
        <w:rPr>
          <w:i w:val="false"/>
          <w:iCs w:val="false"/>
          <w:color w:val="auto"/>
        </w:rPr>
        <w:t>obrigações trabalhistas e previdenciárias de qualquer natureza e para com o FGTS, não adimplidas pelo contratado, quando couber.</w:t>
      </w:r>
    </w:p>
    <w:p>
      <w:pPr>
        <w:pStyle w:val="Nivel2"/>
        <w:numPr>
          <w:ilvl w:val="1"/>
          <w:numId w:val="100"/>
        </w:numPr>
        <w:spacing w:lineRule="auto" w:line="312" w:before="120" w:after="288"/>
        <w:ind w:left="0" w:firstLine="567"/>
        <w:rPr>
          <w:i w:val="false"/>
          <w:i w:val="false"/>
          <w:iCs w:val="false"/>
          <w:color w:val="auto"/>
        </w:rPr>
      </w:pPr>
      <w:r>
        <w:rPr>
          <w:i w:val="false"/>
          <w:iCs w:val="false"/>
          <w:color w:val="auto"/>
        </w:rPr>
        <w:t xml:space="preserve">A modalidade seguro-garantia somente será aceita se contemplar todos os eventos indicados no item </w:t>
      </w:r>
      <w:r>
        <w:rPr>
          <w:i w:val="false"/>
          <w:iCs w:val="false"/>
          <w:color w:val="auto"/>
        </w:rPr>
        <w:fldChar w:fldCharType="begin"/>
      </w:r>
      <w:r>
        <w:rPr>
          <w:i w:val="false"/>
          <w:iCs w:val="false"/>
          <w:color w:val="auto"/>
        </w:rPr>
        <w:instrText> REF _Ref118297166 \r \h </w:instrText>
      </w:r>
      <w:r>
        <w:rPr>
          <w:i w:val="false"/>
          <w:iCs w:val="false"/>
          <w:color w:val="auto"/>
        </w:rPr>
        <w:fldChar w:fldCharType="separate"/>
      </w:r>
      <w:r>
        <w:rPr>
          <w:i w:val="false"/>
          <w:iCs w:val="false"/>
          <w:color w:val="auto"/>
        </w:rPr>
        <w:t>11.7.</w:t>
      </w:r>
      <w:r>
        <w:rPr>
          <w:i w:val="false"/>
          <w:iCs w:val="false"/>
          <w:color w:val="auto"/>
        </w:rPr>
        <w:fldChar w:fldCharType="end"/>
      </w:r>
      <w:r>
        <w:rPr>
          <w:i w:val="false"/>
          <w:iCs w:val="false"/>
          <w:color w:val="auto"/>
        </w:rPr>
        <w:t xml:space="preserve">, observada a legislação que rege a matéria. </w:t>
      </w:r>
    </w:p>
    <w:p>
      <w:pPr>
        <w:pStyle w:val="Nivel2"/>
        <w:numPr>
          <w:ilvl w:val="1"/>
          <w:numId w:val="101"/>
        </w:numPr>
        <w:spacing w:lineRule="auto" w:line="312" w:before="120" w:after="288"/>
        <w:ind w:left="0" w:firstLine="567"/>
        <w:rPr>
          <w:i w:val="false"/>
          <w:i w:val="false"/>
          <w:iCs w:val="false"/>
          <w:color w:val="auto"/>
        </w:rPr>
      </w:pPr>
      <w:r>
        <w:rPr>
          <w:i w:val="false"/>
          <w:iCs w:val="false"/>
          <w:color w:val="auto"/>
        </w:rPr>
        <w:t>A garantia em dinheiro deverá ser efetuada em favor do contratante, em conta específica na Caixa Econômica Federal, com correção monetária.</w:t>
      </w:r>
    </w:p>
    <w:p>
      <w:pPr>
        <w:pStyle w:val="Nivel2"/>
        <w:numPr>
          <w:ilvl w:val="1"/>
          <w:numId w:val="102"/>
        </w:numPr>
        <w:spacing w:lineRule="auto" w:line="312" w:before="120" w:after="288"/>
        <w:ind w:left="0" w:firstLine="567"/>
        <w:rPr>
          <w:i w:val="false"/>
          <w:i w:val="false"/>
          <w:iCs w:val="false"/>
          <w:color w:val="auto"/>
        </w:rPr>
      </w:pPr>
      <w:r>
        <w:rPr>
          <w:i w:val="false"/>
          <w:iCs w:val="false"/>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pPr>
        <w:pStyle w:val="Nivel2"/>
        <w:numPr>
          <w:ilvl w:val="1"/>
          <w:numId w:val="103"/>
        </w:numPr>
        <w:spacing w:lineRule="auto" w:line="312" w:before="120" w:after="288"/>
        <w:ind w:left="0" w:firstLine="567"/>
        <w:rPr/>
      </w:pPr>
      <w:r>
        <w:rPr>
          <w:i w:val="false"/>
          <w:iCs w:val="false"/>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LinkdaInternet"/>
          <w:i w:val="false"/>
          <w:iCs w:val="false"/>
          <w:color w:val="auto"/>
        </w:rPr>
        <w:instrText> HYPERLINK "https://www.planalto.gov.br/ccivil_03/leis/2002/l10406compilada.htm" \l "art827"</w:instrText>
      </w:r>
      <w:r>
        <w:rPr>
          <w:rStyle w:val="LinkdaInternet"/>
          <w:i w:val="false"/>
          <w:iCs w:val="false"/>
          <w:color w:val="auto"/>
        </w:rPr>
        <w:fldChar w:fldCharType="separate"/>
      </w:r>
      <w:r>
        <w:rPr>
          <w:rStyle w:val="LinkdaInternet"/>
          <w:i w:val="false"/>
          <w:iCs w:val="false"/>
          <w:color w:val="auto"/>
        </w:rPr>
        <w:t>artigo 827 do Código Civil.</w:t>
      </w:r>
      <w:r>
        <w:rPr>
          <w:rStyle w:val="LinkdaInternet"/>
          <w:i w:val="false"/>
          <w:iCs w:val="false"/>
          <w:color w:val="auto"/>
        </w:rPr>
        <w:fldChar w:fldCharType="end"/>
      </w:r>
    </w:p>
    <w:p>
      <w:pPr>
        <w:pStyle w:val="Nivel2"/>
        <w:numPr>
          <w:ilvl w:val="1"/>
          <w:numId w:val="104"/>
        </w:numPr>
        <w:spacing w:lineRule="auto" w:line="312" w:before="120" w:after="288"/>
        <w:ind w:left="0" w:firstLine="567"/>
        <w:rPr>
          <w:i w:val="false"/>
          <w:i w:val="false"/>
          <w:iCs w:val="false"/>
          <w:color w:val="auto"/>
        </w:rPr>
      </w:pPr>
      <w:r>
        <w:rPr>
          <w:i w:val="false"/>
          <w:iCs w:val="false"/>
          <w:color w:val="auto"/>
        </w:rPr>
        <w:t xml:space="preserve">No caso de alteração do valor do contrato, ou prorrogação de sua vigência, a garantia deverá ser ajustada ou renovada, seguindo os mesmos parâmetros utilizados quando da contratação. </w:t>
      </w:r>
    </w:p>
    <w:p>
      <w:pPr>
        <w:pStyle w:val="Nivel2"/>
        <w:numPr>
          <w:ilvl w:val="1"/>
          <w:numId w:val="105"/>
        </w:numPr>
        <w:spacing w:lineRule="auto" w:line="312" w:before="120" w:after="288"/>
        <w:ind w:left="0" w:firstLine="567"/>
        <w:rPr>
          <w:i w:val="false"/>
          <w:i w:val="false"/>
          <w:iCs w:val="false"/>
          <w:color w:val="auto"/>
        </w:rPr>
      </w:pPr>
      <w:r>
        <w:rPr>
          <w:i w:val="false"/>
          <w:iCs w:val="false"/>
          <w:color w:val="auto"/>
        </w:rPr>
        <w:t>Se o valor da garantia for utilizado total ou parcialmente em pagamento de qualquer obrigação, o Contratado obriga-se a fazer a respectiva reposição no prazo máximo de .......... (......) dias úteis, contados da data em que for notificada.</w:t>
      </w:r>
    </w:p>
    <w:p>
      <w:pPr>
        <w:pStyle w:val="Nivel2"/>
        <w:numPr>
          <w:ilvl w:val="1"/>
          <w:numId w:val="106"/>
        </w:numPr>
        <w:spacing w:lineRule="auto" w:line="312" w:before="120" w:after="288"/>
        <w:ind w:left="0" w:firstLine="567"/>
        <w:rPr>
          <w:i w:val="false"/>
          <w:i w:val="false"/>
          <w:iCs w:val="false"/>
          <w:color w:val="auto"/>
        </w:rPr>
      </w:pPr>
      <w:r>
        <w:rPr>
          <w:i w:val="false"/>
          <w:iCs w:val="false"/>
          <w:color w:val="auto"/>
        </w:rPr>
        <w:t>O Contratante executará a garantia na forma prevista na legislação que rege a matéria.</w:t>
      </w:r>
    </w:p>
    <w:p>
      <w:pPr>
        <w:pStyle w:val="Nivel3"/>
        <w:numPr>
          <w:ilvl w:val="2"/>
          <w:numId w:val="107"/>
        </w:numPr>
        <w:spacing w:lineRule="auto" w:line="312" w:before="120" w:after="288"/>
        <w:ind w:left="170" w:firstLine="709"/>
        <w:rPr/>
      </w:pPr>
      <w:r>
        <w:rPr>
          <w:i w:val="false"/>
          <w:iCs w:val="false"/>
          <w:color w:val="auto"/>
        </w:rPr>
        <w:t>O emitente da garantia ofertada pelo contratado deverá ser notificado pelo contratante quanto ao início de processo administrativo para apuração de descumprimento de cláusulas contratuais (</w:t>
      </w:r>
      <w:r>
        <w:fldChar w:fldCharType="begin"/>
      </w:r>
      <w:r>
        <w:rPr>
          <w:rStyle w:val="LinkdaInternet"/>
          <w:i w:val="false"/>
          <w:iCs w:val="false"/>
          <w:color w:val="auto"/>
        </w:rPr>
        <w:instrText> HYPERLINK "http://www.planalto.gov.br/ccivil_03/_ato2019-2022/2021/lei/L14133.htm" \l "art137§4"</w:instrText>
      </w:r>
      <w:r>
        <w:rPr>
          <w:rStyle w:val="LinkdaInternet"/>
          <w:i w:val="false"/>
          <w:iCs w:val="false"/>
          <w:color w:val="auto"/>
        </w:rPr>
        <w:fldChar w:fldCharType="separate"/>
      </w:r>
      <w:r>
        <w:rPr>
          <w:rStyle w:val="LinkdaInternet"/>
          <w:i w:val="false"/>
          <w:iCs w:val="false"/>
          <w:color w:val="auto"/>
        </w:rPr>
        <w:t>art. 137, § 4º, da Lei n.º 14.133, de 2021</w:t>
      </w:r>
      <w:r>
        <w:rPr>
          <w:rStyle w:val="LinkdaInternet"/>
          <w:i w:val="false"/>
          <w:iCs w:val="false"/>
          <w:color w:val="auto"/>
        </w:rPr>
        <w:fldChar w:fldCharType="end"/>
      </w:r>
      <w:r>
        <w:rPr>
          <w:i w:val="false"/>
          <w:iCs w:val="false"/>
          <w:color w:val="auto"/>
        </w:rPr>
        <w:t>).</w:t>
      </w:r>
    </w:p>
    <w:p>
      <w:pPr>
        <w:pStyle w:val="Nivel3"/>
        <w:numPr>
          <w:ilvl w:val="2"/>
          <w:numId w:val="108"/>
        </w:numPr>
        <w:spacing w:lineRule="auto" w:line="312" w:before="120" w:after="288"/>
        <w:ind w:left="170" w:firstLine="709"/>
        <w:rPr/>
      </w:pPr>
      <w:r>
        <w:rPr>
          <w:i w:val="false"/>
          <w:iCs w:val="false"/>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LinkdaInternet"/>
          <w:i w:val="false"/>
          <w:iCs w:val="false"/>
          <w:color w:val="auto"/>
        </w:rPr>
        <w:instrText> HYPERLINK "https://www.in.gov.br/en/web/dou/-/circular-susep-n-662-de-11-de-abril-de-2022-392772088" \l "art20"</w:instrText>
      </w:r>
      <w:r>
        <w:rPr>
          <w:rStyle w:val="LinkdaInternet"/>
          <w:i w:val="false"/>
          <w:iCs w:val="false"/>
          <w:color w:val="auto"/>
        </w:rPr>
        <w:fldChar w:fldCharType="separate"/>
      </w:r>
      <w:r>
        <w:rPr>
          <w:rStyle w:val="LinkdaInternet"/>
          <w:i w:val="false"/>
          <w:iCs w:val="false"/>
          <w:color w:val="auto"/>
        </w:rPr>
        <w:t>art. 20 da Circular Susep n° 662, de 11 de abril de 2022</w:t>
      </w:r>
      <w:r>
        <w:rPr>
          <w:rStyle w:val="LinkdaInternet"/>
          <w:i w:val="false"/>
          <w:iCs w:val="false"/>
          <w:color w:val="auto"/>
        </w:rPr>
        <w:fldChar w:fldCharType="end"/>
      </w:r>
      <w:r>
        <w:rPr>
          <w:i w:val="false"/>
          <w:iCs w:val="false"/>
          <w:color w:val="auto"/>
        </w:rPr>
        <w:t>.</w:t>
      </w:r>
    </w:p>
    <w:p>
      <w:pPr>
        <w:pStyle w:val="Nivel2"/>
        <w:numPr>
          <w:ilvl w:val="1"/>
          <w:numId w:val="109"/>
        </w:numPr>
        <w:spacing w:lineRule="auto" w:line="312" w:before="120" w:after="288"/>
        <w:ind w:left="0" w:firstLine="567"/>
        <w:rPr>
          <w:i w:val="false"/>
          <w:i w:val="false"/>
          <w:iCs w:val="false"/>
          <w:color w:val="auto"/>
        </w:rPr>
      </w:pPr>
      <w:r>
        <w:rPr>
          <w:i w:val="false"/>
          <w:iCs w:val="false"/>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pPr>
        <w:pStyle w:val="Nivel2"/>
        <w:numPr>
          <w:ilvl w:val="1"/>
          <w:numId w:val="110"/>
        </w:numPr>
        <w:spacing w:lineRule="auto" w:line="312" w:before="120" w:after="288"/>
        <w:ind w:left="0" w:firstLine="567"/>
        <w:rPr>
          <w:i w:val="false"/>
          <w:i w:val="false"/>
          <w:iCs w:val="false"/>
          <w:color w:val="auto"/>
        </w:rPr>
      </w:pPr>
      <w:r>
        <w:rPr>
          <w:i w:val="false"/>
          <w:iCs w:val="false"/>
          <w:color w:val="auto"/>
        </w:rPr>
        <w:t xml:space="preserve">O garantidor não é parte para figurar em processo administrativo instaurado pelo contratante com o objetivo de apurar prejuízos e/ou aplicar sanções à contratada. </w:t>
      </w:r>
    </w:p>
    <w:p>
      <w:pPr>
        <w:pStyle w:val="Nivel2"/>
        <w:numPr>
          <w:ilvl w:val="1"/>
          <w:numId w:val="111"/>
        </w:numPr>
        <w:spacing w:lineRule="auto" w:line="312" w:before="120" w:after="288"/>
        <w:ind w:left="0" w:firstLine="567"/>
        <w:rPr>
          <w:i w:val="false"/>
          <w:i w:val="false"/>
          <w:iCs w:val="false"/>
          <w:color w:val="auto"/>
        </w:rPr>
      </w:pPr>
      <w:r>
        <w:rPr>
          <w:i w:val="false"/>
          <w:iCs w:val="false"/>
          <w:color w:val="auto"/>
        </w:rPr>
        <w:t>O contratado autoriza o contratante a reter, a qualquer tempo, a garantia, na forma prevista no Edital e neste Contrato.</w:t>
      </w:r>
    </w:p>
    <w:p>
      <w:pPr>
        <w:pStyle w:val="Nivel2"/>
        <w:numPr>
          <w:ilvl w:val="1"/>
          <w:numId w:val="112"/>
        </w:numPr>
        <w:spacing w:lineRule="auto" w:line="312" w:before="120" w:after="288"/>
        <w:ind w:left="0" w:firstLine="567"/>
        <w:rPr/>
      </w:pPr>
      <w:r>
        <w:rPr>
          <w:i w:val="false"/>
          <w:iCs w:val="false"/>
          <w:color w:val="auto"/>
        </w:rPr>
        <w:t xml:space="preserve">Além da garantia de que tratam os </w:t>
      </w:r>
      <w:r>
        <w:fldChar w:fldCharType="begin"/>
      </w:r>
      <w:r>
        <w:rPr>
          <w:rStyle w:val="LinkdaInternet"/>
          <w:i w:val="false"/>
          <w:iCs w:val="false"/>
          <w:color w:val="auto"/>
        </w:rPr>
        <w:instrText> HYPERLINK "http://www.planalto.gov.br/ccivil_03/_ato2019-2022/2021/lei/L14133.htm" \l "art96"</w:instrText>
      </w:r>
      <w:r>
        <w:rPr>
          <w:rStyle w:val="LinkdaInternet"/>
          <w:i w:val="false"/>
          <w:iCs w:val="false"/>
          <w:color w:val="auto"/>
        </w:rPr>
        <w:fldChar w:fldCharType="separate"/>
      </w:r>
      <w:r>
        <w:rPr>
          <w:rStyle w:val="LinkdaInternet"/>
          <w:i w:val="false"/>
          <w:iCs w:val="false"/>
          <w:color w:val="auto"/>
        </w:rPr>
        <w:t>arts. 96 e seguintes da Lei nº 14.133/21</w:t>
      </w:r>
      <w:r>
        <w:rPr>
          <w:rStyle w:val="LinkdaInternet"/>
          <w:i w:val="false"/>
          <w:iCs w:val="false"/>
          <w:color w:val="auto"/>
        </w:rPr>
        <w:fldChar w:fldCharType="end"/>
      </w:r>
      <w:r>
        <w:rPr>
          <w:i w:val="false"/>
          <w:iCs w:val="false"/>
          <w:color w:val="auto"/>
        </w:rPr>
        <w:t>, a presente contratação possui previsão de garantia contratual do bem a ser fornecido, incluindo manutenção e assistência técnica, conforme condições estabelecidas no Termo de Referência.</w:t>
      </w:r>
    </w:p>
    <w:p>
      <w:pPr>
        <w:pStyle w:val="Nivel2"/>
        <w:numPr>
          <w:ilvl w:val="1"/>
          <w:numId w:val="113"/>
        </w:numPr>
        <w:spacing w:lineRule="auto" w:line="312" w:before="120" w:after="288"/>
        <w:ind w:left="0" w:firstLine="567"/>
        <w:rPr>
          <w:i w:val="false"/>
          <w:i w:val="false"/>
          <w:iCs w:val="false"/>
          <w:color w:val="auto"/>
        </w:rPr>
      </w:pPr>
      <w:r>
        <w:rPr>
          <w:i w:val="false"/>
          <w:iCs w:val="false"/>
          <w:color w:val="auto"/>
        </w:rPr>
        <w:t>A garantia de execução é independente de eventual garantia do produto prevista especificamente no Termo de Referência.</w:t>
      </w:r>
    </w:p>
    <w:p>
      <w:pPr>
        <w:pStyle w:val="Nivel01"/>
        <w:numPr>
          <w:ilvl w:val="0"/>
          <w:numId w:val="114"/>
        </w:numPr>
        <w:spacing w:lineRule="auto" w:line="312" w:before="120" w:after="288"/>
        <w:ind w:left="0" w:hanging="0"/>
        <w:rPr>
          <w:color w:val="FFFFFF" w:themeColor="background1"/>
        </w:rPr>
      </w:pPr>
      <w:r>
        <w:rPr/>
        <w:t>CLÁUSULA DÉCIMA SEGUNDA – INFRAÇÕES E SANÇÕES ADMINISTRATIVAS</w:t>
      </w:r>
    </w:p>
    <w:p>
      <w:pPr>
        <w:pStyle w:val="Nivel2"/>
        <w:numPr>
          <w:ilvl w:val="1"/>
          <w:numId w:val="115"/>
        </w:numPr>
        <w:spacing w:lineRule="auto" w:line="312" w:before="120" w:after="288"/>
        <w:ind w:left="0" w:firstLine="567"/>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6"/>
        </w:numPr>
        <w:suppressAutoHyphens w:val="true"/>
        <w:spacing w:before="120" w:after="288"/>
        <w:ind w:left="924" w:firstLine="851"/>
        <w:jc w:val="both"/>
        <w:rPr>
          <w:rFonts w:ascii="Arial" w:hAnsi="Arial" w:eastAsia="Arial" w:cs="Arial"/>
          <w:sz w:val="20"/>
          <w:szCs w:val="20"/>
        </w:rPr>
      </w:pPr>
      <w:r>
        <w:rPr>
          <w:rFonts w:eastAsia="Arial" w:cs="Arial" w:ascii="Arial" w:hAnsi="Arial"/>
          <w:sz w:val="20"/>
          <w:szCs w:val="20"/>
        </w:rPr>
        <w:t>praticar ato lesivo previsto no art. 5º da Lei nº 12.846, de 1º de agosto de 2013.</w:t>
      </w:r>
    </w:p>
    <w:p>
      <w:pPr>
        <w:pStyle w:val="Nivel2"/>
        <w:numPr>
          <w:ilvl w:val="1"/>
          <w:numId w:val="116"/>
        </w:numPr>
        <w:spacing w:lineRule="auto" w:line="312" w:before="120" w:after="288"/>
        <w:ind w:left="0" w:firstLine="567"/>
        <w:rPr/>
      </w:pPr>
      <w:r>
        <w:rPr/>
        <w:t>Serão aplicadas ao contratado que incorrer nas infrações acima descritas as seguintes sanções:</w:t>
      </w:r>
    </w:p>
    <w:p>
      <w:pPr>
        <w:pStyle w:val="Normal"/>
        <w:numPr>
          <w:ilvl w:val="2"/>
          <w:numId w:val="7"/>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5" w:name="_Hlk114504069"/>
      <w:r>
        <w:rPr>
          <w:rStyle w:val="LinkdaInternet"/>
          <w:rFonts w:eastAsia="Arial" w:cs="Arial" w:ascii="Arial" w:hAnsi="Arial"/>
          <w:sz w:val="20"/>
          <w:szCs w:val="20"/>
        </w:rPr>
        <w:t>Lei nº 14.133, de 2021</w:t>
      </w:r>
      <w:bookmarkEnd w:id="5"/>
      <w:r>
        <w:rPr>
          <w:rFonts w:eastAsia="Arial" w:cs="Arial" w:ascii="Arial" w:hAnsi="Arial"/>
          <w:sz w:val="20"/>
          <w:szCs w:val="20"/>
        </w:rPr>
        <w:t>);</w:t>
      </w:r>
    </w:p>
    <w:p>
      <w:pPr>
        <w:pStyle w:val="Normal"/>
        <w:numPr>
          <w:ilvl w:val="2"/>
          <w:numId w:val="7"/>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7"/>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Normal"/>
        <w:numPr>
          <w:ilvl w:val="2"/>
          <w:numId w:val="7"/>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7"/>
        </w:numPr>
        <w:suppressAutoHyphens w:val="true"/>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01% (um por cento) sobre o valor estimado do(s) item(s) prejudicado(s) pela conduta do licitante;</w:t>
      </w:r>
    </w:p>
    <w:p>
      <w:pPr>
        <w:pStyle w:val="Normal"/>
        <w:numPr>
          <w:ilvl w:val="3"/>
          <w:numId w:val="7"/>
        </w:numPr>
        <w:suppressAutoHyphens w:val="true"/>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pPr>
        <w:pStyle w:val="Normal"/>
        <w:numPr>
          <w:ilvl w:val="3"/>
          <w:numId w:val="7"/>
        </w:numPr>
        <w:suppressAutoHyphens w:val="true"/>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 xml:space="preserve">0,1% (um décimo por cento) até 10% (dez por cento) sobre o valor adjudicado, em caso de atraso na execução do objeto, por período superior ao previsto no subitem acima, ou de inexecução parcial da obrigação assumida; </w:t>
      </w:r>
    </w:p>
    <w:p>
      <w:pPr>
        <w:pStyle w:val="Normal"/>
        <w:numPr>
          <w:ilvl w:val="3"/>
          <w:numId w:val="7"/>
        </w:numPr>
        <w:suppressAutoHyphens w:val="true"/>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 xml:space="preserve">0,1% (um décimo por cento) até 15% (quinze por cento) sobre o valor adjudicado, em caso de inexecução total da obrigação assumida; </w:t>
      </w:r>
    </w:p>
    <w:p>
      <w:pPr>
        <w:pStyle w:val="Normal"/>
        <w:numPr>
          <w:ilvl w:val="3"/>
          <w:numId w:val="7"/>
        </w:numPr>
        <w:suppressAutoHyphens w:val="true"/>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 xml:space="preserve">0,2% a 3,2% por dia sobre o valor mensal do contrato, conforme detalhamento constante das tabelas 1 e 2, abaixo; e </w:t>
      </w:r>
    </w:p>
    <w:p>
      <w:pPr>
        <w:pStyle w:val="Normal"/>
        <w:numPr>
          <w:ilvl w:val="3"/>
          <w:numId w:val="7"/>
        </w:numPr>
        <w:suppressAutoHyphens w:val="true"/>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 xml:space="preserve">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 </w:t>
      </w:r>
    </w:p>
    <w:p>
      <w:pPr>
        <w:pStyle w:val="Normal"/>
        <w:numPr>
          <w:ilvl w:val="3"/>
          <w:numId w:val="7"/>
        </w:numPr>
        <w:suppressAutoHyphens w:val="true"/>
        <w:spacing w:lineRule="auto" w:line="312" w:before="120" w:after="288"/>
        <w:ind w:left="1843" w:firstLine="284"/>
        <w:contextualSpacing/>
        <w:jc w:val="both"/>
        <w:rPr>
          <w:rFonts w:ascii="Arial" w:hAnsi="Arial" w:eastAsia="Arial" w:cs="Arial"/>
          <w:sz w:val="20"/>
          <w:szCs w:val="20"/>
        </w:rPr>
      </w:pPr>
      <w:r>
        <w:rPr>
          <w:rFonts w:eastAsia="Arial" w:cs="Arial" w:ascii="Arial" w:hAnsi="Arial"/>
          <w:sz w:val="20"/>
          <w:szCs w:val="20"/>
        </w:rPr>
        <w:t xml:space="preserve">as penalidades de multa decorrentes de fatos diversos serão consideradas independentes entre si. </w:t>
      </w:r>
    </w:p>
    <w:p>
      <w:pPr>
        <w:pStyle w:val="Nivel2"/>
        <w:numPr>
          <w:ilvl w:val="1"/>
          <w:numId w:val="117"/>
        </w:numPr>
        <w:spacing w:lineRule="auto" w:line="312" w:before="120" w:after="288"/>
        <w:ind w:left="0" w:firstLine="709"/>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2"/>
        <w:numPr>
          <w:ilvl w:val="1"/>
          <w:numId w:val="118"/>
        </w:numPr>
        <w:spacing w:lineRule="auto" w:line="312" w:before="120" w:after="288"/>
        <w:ind w:left="0" w:firstLine="709"/>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19"/>
        </w:numPr>
        <w:spacing w:lineRule="auto" w:line="312" w:before="120" w:after="288"/>
        <w:ind w:left="170" w:firstLine="709"/>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20"/>
        </w:numPr>
        <w:spacing w:lineRule="auto" w:line="312" w:before="120" w:after="288"/>
        <w:ind w:left="170" w:firstLine="709"/>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21"/>
        </w:numPr>
        <w:spacing w:lineRule="auto" w:line="312" w:before="120" w:after="288"/>
        <w:ind w:left="170" w:firstLine="709"/>
        <w:rPr/>
      </w:pPr>
      <w:r>
        <w:rPr/>
        <w:t xml:space="preserve">Previamente ao encaminhamento à cobrança judicial, a multa poderá ser recolhida administrativamente no prazo máximo de </w:t>
      </w:r>
      <w:r>
        <w:rPr/>
        <w:t>15</w:t>
      </w:r>
      <w:r>
        <w:rPr>
          <w:i w:val="false"/>
          <w:iCs w:val="false"/>
          <w:color w:val="auto"/>
        </w:rPr>
        <w:t xml:space="preserve"> (</w:t>
      </w:r>
      <w:r>
        <w:rPr>
          <w:i w:val="false"/>
          <w:iCs w:val="false"/>
          <w:color w:val="auto"/>
        </w:rPr>
        <w:t>quinze)</w:t>
      </w:r>
      <w:r>
        <w:rPr>
          <w:i w:val="false"/>
          <w:iCs w:val="false"/>
          <w:color w:val="auto"/>
        </w:rPr>
        <w:t xml:space="preserve"> </w:t>
      </w:r>
      <w:r>
        <w:rPr/>
        <w:t>dias, a contar da data do recebimento da comunicação enviada pela autoridade competente.</w:t>
      </w:r>
      <w:bookmarkStart w:id="6" w:name="_Hlk78351618"/>
      <w:bookmarkEnd w:id="6"/>
    </w:p>
    <w:p>
      <w:pPr>
        <w:pStyle w:val="Nivel2"/>
        <w:numPr>
          <w:ilvl w:val="1"/>
          <w:numId w:val="122"/>
        </w:numPr>
        <w:spacing w:lineRule="auto" w:line="312" w:before="120" w:after="288"/>
        <w:ind w:left="0" w:firstLine="709"/>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23"/>
        </w:numPr>
        <w:spacing w:lineRule="auto" w:line="312" w:before="120" w:after="288"/>
        <w:ind w:left="0" w:firstLine="709"/>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4"/>
        </w:numPr>
        <w:suppressAutoHyphens w:val="true"/>
        <w:spacing w:lineRule="auto" w:line="312" w:before="120" w:after="288"/>
        <w:ind w:left="924" w:firstLine="851"/>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24"/>
        </w:numPr>
        <w:spacing w:lineRule="auto" w:line="312" w:before="120" w:after="288"/>
        <w:ind w:left="0" w:firstLine="709"/>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w:t>
      </w:r>
      <w:hyperlink r:id="rId7">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rPr>
          <w:rStyle w:val="LinkdaInternet"/>
        </w:rPr>
        <w:instrText> HYPERLINK "http://www.planalto.gov.br/ccivil_03/_ato2019-2022/2021/lei/L14133.htm" \l "art159"</w:instrText>
      </w:r>
      <w:r>
        <w:rPr>
          <w:rStyle w:val="LinkdaInternet"/>
        </w:rPr>
        <w:fldChar w:fldCharType="separate"/>
      </w:r>
      <w:r>
        <w:rPr>
          <w:rStyle w:val="LinkdaInternet"/>
        </w:rPr>
        <w:t>Lei (art. 159</w:t>
      </w:r>
      <w:r>
        <w:rPr>
          <w:rStyle w:val="LinkdaInternet"/>
        </w:rPr>
        <w:fldChar w:fldCharType="end"/>
      </w:r>
      <w:r>
        <w:rPr/>
        <w:t>).</w:t>
      </w:r>
    </w:p>
    <w:p>
      <w:pPr>
        <w:pStyle w:val="Nivel2"/>
        <w:numPr>
          <w:ilvl w:val="1"/>
          <w:numId w:val="125"/>
        </w:numPr>
        <w:spacing w:lineRule="auto" w:line="312" w:before="120" w:after="288"/>
        <w:ind w:left="0" w:firstLine="709"/>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26"/>
        </w:numPr>
        <w:spacing w:lineRule="auto" w:line="312" w:before="120" w:after="288"/>
        <w:ind w:left="0" w:firstLine="709"/>
        <w:rPr>
          <w:i/>
          <w:i/>
          <w:iCs/>
        </w:rPr>
      </w:pPr>
      <w:r>
        <w:rPr/>
        <w:t xml:space="preserve"> </w:t>
      </w:r>
      <w:r>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27"/>
        </w:numPr>
        <w:spacing w:lineRule="auto" w:line="312" w:before="120" w:after="288"/>
        <w:ind w:left="0" w:firstLine="709"/>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"art163"</w:instrText>
      </w:r>
      <w:r>
        <w:rPr>
          <w:rStyle w:val="LinkdaInternet"/>
        </w:rPr>
        <w:fldChar w:fldCharType="separate"/>
      </w:r>
      <w:r>
        <w:rPr>
          <w:rStyle w:val="LinkdaInternet"/>
        </w:rPr>
        <w:t>art. 163 da Lei nº 14.133/21.</w:t>
      </w:r>
      <w:r>
        <w:rPr>
          <w:rStyle w:val="LinkdaInternet"/>
        </w:rPr>
        <w:fldChar w:fldCharType="end"/>
      </w:r>
    </w:p>
    <w:p>
      <w:pPr>
        <w:pStyle w:val="Nivel2"/>
        <w:numPr>
          <w:ilvl w:val="1"/>
          <w:numId w:val="128"/>
        </w:numPr>
        <w:spacing w:lineRule="auto" w:line="312" w:before="120" w:after="288"/>
        <w:ind w:left="0" w:firstLine="709"/>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
        <w:r>
          <w:rPr>
            <w:rStyle w:val="LinkdaInternet"/>
          </w:rPr>
          <w:t>Instrução Normativa SEGES/ME nº 26, de 13 de abril de 2022</w:t>
        </w:r>
      </w:hyperlink>
      <w:r>
        <w:rPr/>
        <w:t xml:space="preserve">. </w:t>
      </w:r>
    </w:p>
    <w:p>
      <w:pPr>
        <w:pStyle w:val="Nivel01"/>
        <w:numPr>
          <w:ilvl w:val="0"/>
          <w:numId w:val="129"/>
        </w:numPr>
        <w:spacing w:lineRule="auto" w:line="312" w:before="120" w:after="288"/>
        <w:ind w:left="0" w:hanging="0"/>
        <w:rPr>
          <w:color w:val="FFFFFF" w:themeColor="background1"/>
        </w:rPr>
      </w:pPr>
      <w:r>
        <w:rPr/>
        <w:t xml:space="preserve">CLÁUSULA DÉCIMA </w:t>
      </w:r>
      <w:r>
        <w:rPr/>
        <w:t>TERCEIRA</w:t>
      </w:r>
      <w:r>
        <w:rPr/>
        <w:t xml:space="preserve"> – DOTAÇÃO ORÇAMENTÁRIA</w:t>
      </w:r>
    </w:p>
    <w:p>
      <w:pPr>
        <w:pStyle w:val="Nivel2"/>
        <w:numPr>
          <w:ilvl w:val="1"/>
          <w:numId w:val="130"/>
        </w:numPr>
        <w:spacing w:lineRule="auto" w:line="312" w:before="120" w:after="288"/>
        <w:ind w:left="0" w:firstLine="709"/>
        <w:rPr/>
      </w:pPr>
      <w:r>
        <w:rPr/>
        <w:t>As despesas decorrentes da presente contratação correrão à conta de recursos específicos consignados no Orçamento Geral da União deste exercício, na dotação abaixo discriminada:</w:t>
      </w:r>
    </w:p>
    <w:p>
      <w:pPr>
        <w:pStyle w:val="Normal"/>
        <w:numPr>
          <w:ilvl w:val="1"/>
          <w:numId w:val="5"/>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sz w:val="20"/>
          <w:szCs w:val="20"/>
        </w:rPr>
        <w:t>XXXXX / XXXXXX</w:t>
      </w:r>
    </w:p>
    <w:p>
      <w:pPr>
        <w:pStyle w:val="Normal"/>
        <w:numPr>
          <w:ilvl w:val="1"/>
          <w:numId w:val="5"/>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sz w:val="20"/>
          <w:szCs w:val="20"/>
        </w:rPr>
        <w:t>XXXXXX</w:t>
      </w:r>
    </w:p>
    <w:p>
      <w:pPr>
        <w:pStyle w:val="Normal"/>
        <w:numPr>
          <w:ilvl w:val="1"/>
          <w:numId w:val="5"/>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sz w:val="20"/>
          <w:szCs w:val="20"/>
        </w:rPr>
        <w:t>XXXXXX</w:t>
      </w:r>
    </w:p>
    <w:p>
      <w:pPr>
        <w:pStyle w:val="Normal"/>
        <w:numPr>
          <w:ilvl w:val="1"/>
          <w:numId w:val="5"/>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sz w:val="20"/>
          <w:szCs w:val="20"/>
        </w:rPr>
        <w:t>XXXXXX-XX</w:t>
      </w:r>
    </w:p>
    <w:p>
      <w:pPr>
        <w:pStyle w:val="Normal"/>
        <w:numPr>
          <w:ilvl w:val="1"/>
          <w:numId w:val="5"/>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Plano Interno: </w:t>
      </w:r>
      <w:r>
        <w:rPr>
          <w:rFonts w:eastAsia="Arial" w:cs="Arial" w:ascii="Arial" w:hAnsi="Arial"/>
          <w:sz w:val="20"/>
          <w:szCs w:val="20"/>
        </w:rPr>
        <w:t>XXXXXX</w:t>
      </w:r>
    </w:p>
    <w:p>
      <w:pPr>
        <w:pStyle w:val="Normal"/>
        <w:numPr>
          <w:ilvl w:val="1"/>
          <w:numId w:val="5"/>
        </w:numPr>
        <w:suppressAutoHyphens w:val="true"/>
        <w:spacing w:lineRule="auto" w:line="312" w:before="120" w:after="288"/>
        <w:ind w:left="0" w:firstLine="1134"/>
        <w:jc w:val="both"/>
        <w:rPr>
          <w:rFonts w:ascii="Arial" w:hAnsi="Arial" w:eastAsia="Arial" w:cs="Arial"/>
          <w:sz w:val="20"/>
          <w:szCs w:val="20"/>
        </w:rPr>
      </w:pPr>
      <w:r>
        <w:rPr>
          <w:rFonts w:eastAsia="Arial" w:cs="Arial" w:ascii="Arial" w:hAnsi="Arial"/>
          <w:sz w:val="20"/>
          <w:szCs w:val="20"/>
        </w:rPr>
        <w:t xml:space="preserve">Nota de Empenho: </w:t>
      </w:r>
      <w:r>
        <w:rPr>
          <w:rFonts w:eastAsia="Arial" w:cs="Arial" w:ascii="Arial" w:hAnsi="Arial"/>
          <w:sz w:val="20"/>
          <w:szCs w:val="20"/>
        </w:rPr>
        <w:t>XXXXXX</w:t>
      </w:r>
    </w:p>
    <w:p>
      <w:pPr>
        <w:pStyle w:val="Nvel2Red"/>
        <w:numPr>
          <w:ilvl w:val="1"/>
          <w:numId w:val="131"/>
        </w:numPr>
        <w:spacing w:lineRule="auto" w:line="312" w:before="120" w:after="288"/>
        <w:ind w:left="0" w:firstLine="709"/>
        <w:rPr>
          <w:i w:val="false"/>
          <w:i w:val="false"/>
          <w:iCs w:val="false"/>
          <w:color w:val="auto"/>
        </w:rPr>
      </w:pPr>
      <w:r>
        <w:rPr>
          <w:i w:val="false"/>
          <w:iCs w:val="false"/>
          <w:color w:val="auto"/>
        </w:rPr>
        <w:t>A dotação relativa aos exercícios financeiros subsequentes será indicada após aprovação da Lei Orçamentária respectiva e liberação dos créditos correspondentes, mediante apostilamento.</w:t>
      </w:r>
    </w:p>
    <w:p>
      <w:pPr>
        <w:pStyle w:val="Nivel01"/>
        <w:numPr>
          <w:ilvl w:val="0"/>
          <w:numId w:val="132"/>
        </w:numPr>
        <w:spacing w:lineRule="auto" w:line="312" w:before="120" w:after="288"/>
        <w:ind w:left="0" w:hanging="0"/>
        <w:rPr>
          <w:color w:val="FFFFFF" w:themeColor="background1"/>
        </w:rPr>
      </w:pPr>
      <w:r>
        <w:rPr/>
        <w:t xml:space="preserve">CLÁUSULA DÉCIMA </w:t>
      </w:r>
      <w:r>
        <w:rPr/>
        <w:t>QUARTA</w:t>
      </w:r>
      <w:r>
        <w:rPr/>
        <w:t xml:space="preserve"> – DOS CASOS OMISSOS</w:t>
      </w:r>
    </w:p>
    <w:p>
      <w:pPr>
        <w:pStyle w:val="Nivel2"/>
        <w:numPr>
          <w:ilvl w:val="1"/>
          <w:numId w:val="133"/>
        </w:numPr>
        <w:spacing w:lineRule="auto" w:line="312" w:before="120" w:after="288"/>
        <w:ind w:left="0" w:firstLine="709"/>
        <w:rPr/>
      </w:pPr>
      <w:r>
        <w:rPr/>
        <w:t xml:space="preserve">Os casos omissos serão decididos pelo contratante, segundo as disposições contidas na </w:t>
      </w:r>
      <w:hyperlink r:id="rId9">
        <w:r>
          <w:rPr>
            <w:rStyle w:val="LinkdaInternet"/>
          </w:rPr>
          <w:t>Lei nº 14.133, de 2021</w:t>
        </w:r>
      </w:hyperlink>
      <w:r>
        <w:rPr/>
        <w:t xml:space="preserve">, e demais normas federais aplicáveis e, subsidiariamente, segundo as disposições contidas na </w:t>
      </w:r>
      <w:hyperlink r:id="rId10">
        <w:r>
          <w:rPr>
            <w:rStyle w:val="LinkdaInternet"/>
          </w:rPr>
          <w:t>Lei nº 8.078, de 1990 – Código de Defesa do Consumidor</w:t>
        </w:r>
      </w:hyperlink>
      <w:r>
        <w:rPr/>
        <w:t xml:space="preserve"> – e normas e princípios gerais dos contratos.</w:t>
      </w:r>
    </w:p>
    <w:p>
      <w:pPr>
        <w:pStyle w:val="Nivel01"/>
        <w:numPr>
          <w:ilvl w:val="0"/>
          <w:numId w:val="134"/>
        </w:numPr>
        <w:spacing w:lineRule="auto" w:line="312" w:before="120" w:after="288"/>
        <w:ind w:left="0" w:hanging="0"/>
        <w:rPr>
          <w:color w:val="FFFFFF" w:themeColor="background1"/>
        </w:rPr>
      </w:pPr>
      <w:r>
        <w:rPr/>
        <w:t xml:space="preserve">CLÁUSULA DÉCIMA </w:t>
      </w:r>
      <w:r>
        <w:rPr/>
        <w:t>QUINTA</w:t>
      </w:r>
      <w:r>
        <w:rPr/>
        <w:t xml:space="preserve"> – ALTERAÇÕES</w:t>
      </w:r>
    </w:p>
    <w:p>
      <w:pPr>
        <w:pStyle w:val="Nivel2"/>
        <w:numPr>
          <w:ilvl w:val="1"/>
          <w:numId w:val="135"/>
        </w:numPr>
        <w:spacing w:lineRule="auto" w:line="312" w:before="120" w:after="288"/>
        <w:ind w:left="0" w:firstLine="709"/>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36"/>
        </w:numPr>
        <w:spacing w:lineRule="auto" w:line="312" w:before="120" w:after="288"/>
        <w:ind w:left="0" w:firstLine="709"/>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37"/>
        </w:numPr>
        <w:spacing w:lineRule="auto" w:line="312" w:before="120" w:after="288"/>
        <w:ind w:left="0" w:firstLine="709"/>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38"/>
        </w:numPr>
        <w:spacing w:lineRule="auto" w:line="312" w:before="120" w:after="288"/>
        <w:ind w:left="0" w:hanging="0"/>
        <w:rPr>
          <w:color w:val="FFFFFF" w:themeColor="background1"/>
        </w:rPr>
      </w:pPr>
      <w:r>
        <w:rPr/>
        <w:t xml:space="preserve">CLÁUSULA DÉCIMA </w:t>
      </w:r>
      <w:r>
        <w:rPr/>
        <w:t>SEXTA</w:t>
      </w:r>
      <w:r>
        <w:rPr/>
        <w:t xml:space="preserve"> – PUBLICAÇÃO</w:t>
      </w:r>
    </w:p>
    <w:p>
      <w:pPr>
        <w:pStyle w:val="Nivel2"/>
        <w:numPr>
          <w:ilvl w:val="1"/>
          <w:numId w:val="139"/>
        </w:numPr>
        <w:spacing w:lineRule="auto" w:line="312" w:before="120" w:after="288"/>
        <w:ind w:left="0" w:firstLine="709"/>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 xml:space="preserve"> </w:t>
      </w:r>
      <w:r>
        <w:br w:type="page"/>
      </w:r>
    </w:p>
    <w:p>
      <w:pPr>
        <w:pStyle w:val="Nivel01"/>
        <w:numPr>
          <w:ilvl w:val="0"/>
          <w:numId w:val="140"/>
        </w:numPr>
        <w:spacing w:lineRule="auto" w:line="312" w:before="120" w:after="288"/>
        <w:ind w:left="0" w:hanging="0"/>
        <w:rPr>
          <w:color w:val="FFFFFF" w:themeColor="background1"/>
        </w:rPr>
      </w:pPr>
      <w:r>
        <w:rPr/>
        <w:t xml:space="preserve">CLÁUSULA DÉCIMA </w:t>
      </w:r>
      <w:r>
        <w:rPr/>
        <w:t xml:space="preserve">SÉTIMA </w:t>
      </w:r>
      <w:r>
        <w:rPr/>
        <w:t>– FORO</w:t>
      </w:r>
    </w:p>
    <w:p>
      <w:pPr>
        <w:pStyle w:val="Nivel2"/>
        <w:numPr>
          <w:ilvl w:val="1"/>
          <w:numId w:val="141"/>
        </w:numPr>
        <w:spacing w:lineRule="auto" w:line="312" w:before="120" w:after="288"/>
        <w:ind w:left="0" w:firstLine="709"/>
        <w:rPr/>
      </w:pPr>
      <w:r>
        <w:rPr/>
        <w:t>Fica eleito o Foro da Justiça Federal em</w:t>
      </w:r>
      <w:r>
        <w:rPr>
          <w:color w:val="auto"/>
        </w:rPr>
        <w:t xml:space="preserve"> </w:t>
      </w:r>
      <w:r>
        <w:rPr>
          <w:color w:val="auto"/>
        </w:rPr>
        <w:t>Linhares-ES</w:t>
      </w:r>
      <w:r>
        <w:rPr>
          <w:color w:val="auto"/>
        </w:rPr>
        <w:t xml:space="preserve"> </w:t>
      </w:r>
      <w:r>
        <w:rPr/>
        <w:t xml:space="preserve">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p>
    <w:p>
      <w:pPr>
        <w:pStyle w:val="Nivel2"/>
        <w:numPr>
          <w:ilvl w:val="0"/>
          <w:numId w:val="0"/>
        </w:numPr>
        <w:spacing w:lineRule="auto" w:line="312" w:before="120" w:after="288"/>
        <w:ind w:left="0" w:firstLine="709"/>
        <w:rPr>
          <w:i/>
          <w:i/>
          <w:iCs/>
          <w:color w:val="FF0000"/>
        </w:rPr>
      </w:pPr>
      <w:r>
        <w:rPr>
          <w:i/>
          <w:iCs/>
          <w:color w:val="FF0000"/>
        </w:rPr>
      </w:r>
    </w:p>
    <w:p>
      <w:pPr>
        <w:pStyle w:val="Nivel2"/>
        <w:numPr>
          <w:ilvl w:val="0"/>
          <w:numId w:val="0"/>
        </w:numPr>
        <w:spacing w:lineRule="auto" w:line="312" w:before="120" w:after="288"/>
        <w:ind w:left="0" w:firstLine="709"/>
        <w:rPr>
          <w:i w:val="false"/>
          <w:i w:val="false"/>
          <w:iCs w:val="false"/>
          <w:color w:val="auto"/>
        </w:rPr>
      </w:pPr>
      <w:r>
        <w:rPr>
          <w:i w:val="false"/>
          <w:iCs w:val="false"/>
          <w:color w:val="auto"/>
        </w:rPr>
        <w:t>[Local]</w:t>
      </w:r>
      <w:r>
        <w:rPr>
          <w:i w:val="false"/>
          <w:iCs w:val="false"/>
          <w:color w:val="auto"/>
        </w:rPr>
        <w:t>,</w:t>
      </w:r>
      <w:r>
        <w:rPr>
          <w:i w:val="false"/>
          <w:iCs w:val="false"/>
          <w:color w:val="auto"/>
        </w:rPr>
        <w:t xml:space="preserve"> [dia] </w:t>
      </w:r>
      <w:r>
        <w:rPr>
          <w:i w:val="false"/>
          <w:iCs w:val="false"/>
          <w:color w:val="auto"/>
        </w:rPr>
        <w:t>de</w:t>
      </w:r>
      <w:r>
        <w:rPr>
          <w:i w:val="false"/>
          <w:iCs w:val="false"/>
          <w:color w:val="auto"/>
        </w:rPr>
        <w:t xml:space="preserve"> [mês] </w:t>
      </w:r>
      <w:r>
        <w:rPr>
          <w:i w:val="false"/>
          <w:iCs w:val="false"/>
          <w:color w:val="auto"/>
        </w:rPr>
        <w:t>de</w:t>
      </w:r>
      <w:r>
        <w:rPr>
          <w:i w:val="false"/>
          <w:iCs w:val="false"/>
          <w:color w:val="auto"/>
        </w:rPr>
        <w:t xml:space="preserve"> [ano].</w:t>
      </w:r>
    </w:p>
    <w:p>
      <w:pPr>
        <w:pStyle w:val="Normal"/>
        <w:spacing w:lineRule="auto" w:line="312" w:before="120" w:after="288"/>
        <w:ind w:firstLine="709"/>
        <w:jc w:val="center"/>
        <w:rPr>
          <w:i w:val="false"/>
          <w:i w:val="false"/>
          <w:iCs w:val="false"/>
          <w:color w:val="auto"/>
        </w:rPr>
      </w:pPr>
      <w:r>
        <w:rPr>
          <w:rFonts w:cs="Arial" w:ascii="Arial" w:hAnsi="Arial"/>
          <w:bCs/>
          <w:i w:val="false"/>
          <w:iCs w:val="false"/>
          <w:color w:val="auto"/>
          <w:sz w:val="20"/>
          <w:szCs w:val="20"/>
        </w:rPr>
        <w:t>_________________________</w:t>
      </w:r>
    </w:p>
    <w:p>
      <w:pPr>
        <w:pStyle w:val="Normal"/>
        <w:spacing w:lineRule="auto" w:line="312" w:before="120" w:after="288"/>
        <w:ind w:firstLine="709"/>
        <w:jc w:val="center"/>
        <w:rPr>
          <w:i w:val="false"/>
          <w:i w:val="false"/>
          <w:iCs w:val="false"/>
          <w:color w:val="auto"/>
        </w:rPr>
      </w:pPr>
      <w:r>
        <w:rPr>
          <w:rFonts w:cs="Arial" w:ascii="Arial" w:hAnsi="Arial"/>
          <w:bCs/>
          <w:i w:val="false"/>
          <w:iCs w:val="false"/>
          <w:color w:val="auto"/>
          <w:sz w:val="20"/>
          <w:szCs w:val="20"/>
        </w:rPr>
        <w:t>Representante legal do CONTRATANTE</w:t>
      </w:r>
    </w:p>
    <w:p>
      <w:pPr>
        <w:pStyle w:val="Normal"/>
        <w:spacing w:lineRule="auto" w:line="312" w:before="120" w:after="288"/>
        <w:ind w:firstLine="709"/>
        <w:jc w:val="center"/>
        <w:rPr>
          <w:i w:val="false"/>
          <w:i w:val="false"/>
          <w:iCs w:val="false"/>
          <w:color w:val="auto"/>
        </w:rPr>
      </w:pPr>
      <w:r>
        <w:rPr>
          <w:rFonts w:cs="Arial" w:ascii="Arial" w:hAnsi="Arial"/>
          <w:i w:val="false"/>
          <w:iCs w:val="false"/>
          <w:color w:val="auto"/>
          <w:sz w:val="20"/>
          <w:szCs w:val="20"/>
        </w:rPr>
        <w:t>_________________________</w:t>
      </w:r>
    </w:p>
    <w:p>
      <w:pPr>
        <w:pStyle w:val="Normal"/>
        <w:spacing w:lineRule="auto" w:line="312" w:before="120" w:after="288"/>
        <w:ind w:firstLine="709"/>
        <w:jc w:val="center"/>
        <w:rPr>
          <w:i w:val="false"/>
          <w:i w:val="false"/>
          <w:iCs w:val="false"/>
          <w:color w:val="auto"/>
        </w:rPr>
      </w:pPr>
      <w:r>
        <w:rPr>
          <w:rFonts w:cs="Arial" w:ascii="Arial" w:hAnsi="Arial"/>
          <w:bCs/>
          <w:i w:val="false"/>
          <w:iCs w:val="false"/>
          <w:color w:val="auto"/>
          <w:sz w:val="20"/>
          <w:szCs w:val="20"/>
        </w:rPr>
        <w:t>Representante</w:t>
      </w:r>
      <w:r>
        <w:rPr>
          <w:rFonts w:cs="Arial" w:ascii="Arial" w:hAnsi="Arial"/>
          <w:i w:val="false"/>
          <w:iCs w:val="false"/>
          <w:color w:val="auto"/>
          <w:sz w:val="20"/>
          <w:szCs w:val="20"/>
        </w:rPr>
        <w:t xml:space="preserve"> legal do CONTRATADO</w:t>
      </w:r>
    </w:p>
    <w:p>
      <w:pPr>
        <w:pStyle w:val="Normal"/>
        <w:spacing w:lineRule="auto" w:line="312" w:before="120" w:after="288"/>
        <w:ind w:firstLine="709"/>
        <w:jc w:val="both"/>
        <w:rPr>
          <w:i w:val="false"/>
          <w:i w:val="false"/>
          <w:iCs w:val="false"/>
          <w:color w:val="auto"/>
        </w:rPr>
      </w:pPr>
      <w:r>
        <w:rPr>
          <w:rFonts w:cs="Arial" w:ascii="Arial" w:hAnsi="Arial"/>
          <w:i w:val="false"/>
          <w:iCs w:val="false"/>
          <w:color w:val="auto"/>
          <w:sz w:val="20"/>
          <w:szCs w:val="20"/>
        </w:rPr>
        <w:t>TESTEMUNHAS:</w:t>
      </w:r>
    </w:p>
    <w:p>
      <w:pPr>
        <w:pStyle w:val="Normal"/>
        <w:spacing w:lineRule="auto" w:line="312" w:before="120" w:after="288"/>
        <w:ind w:firstLine="709"/>
        <w:rPr>
          <w:i w:val="false"/>
          <w:i w:val="false"/>
          <w:iCs w:val="false"/>
          <w:color w:val="auto"/>
        </w:rPr>
      </w:pPr>
      <w:r>
        <w:rPr>
          <w:rFonts w:cs="Arial" w:ascii="Arial" w:hAnsi="Arial"/>
          <w:i w:val="false"/>
          <w:iCs w:val="false"/>
          <w:color w:val="auto"/>
          <w:sz w:val="20"/>
          <w:szCs w:val="20"/>
        </w:rPr>
        <w:t>1-</w:t>
      </w:r>
    </w:p>
    <w:p>
      <w:pPr>
        <w:pStyle w:val="Normal"/>
        <w:spacing w:lineRule="auto" w:line="312" w:before="120" w:after="288"/>
        <w:ind w:firstLine="709"/>
        <w:rPr>
          <w:i w:val="false"/>
          <w:i w:val="false"/>
          <w:iCs w:val="false"/>
          <w:color w:val="auto"/>
        </w:rPr>
      </w:pPr>
      <w:r>
        <w:rPr>
          <w:rFonts w:cs="Arial" w:ascii="Arial" w:hAnsi="Arial"/>
          <w:i w:val="false"/>
          <w:iCs w:val="false"/>
          <w:color w:val="auto"/>
          <w:sz w:val="20"/>
          <w:szCs w:val="20"/>
        </w:rPr>
        <w:t xml:space="preserve">2- </w:t>
      </w:r>
    </w:p>
    <w:sectPr>
      <w:headerReference w:type="default" r:id="rId11"/>
      <w:footerReference w:type="default" r:id="rId12"/>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039247353"/>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14</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color w:val="595959"/>
          </w:rPr>
          <w:instrText> NUMPAGES \* ARABIC </w:instrText>
        </w:r>
        <w:r>
          <w:rPr>
            <w:sz w:val="18"/>
            <w:szCs w:val="18"/>
            <w:rFonts w:cs="Arial" w:ascii="Arial" w:hAnsi="Arial"/>
            <w:color w:val="595959"/>
          </w:rPr>
          <w:fldChar w:fldCharType="separate"/>
        </w:r>
        <w:r>
          <w:rPr>
            <w:sz w:val="18"/>
            <w:szCs w:val="18"/>
            <w:rFonts w:cs="Arial" w:ascii="Arial" w:hAnsi="Arial"/>
            <w:color w:val="595959"/>
          </w:rPr>
          <w:t>14</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dezembro/2022</w:t>
        </w:r>
      </w:p>
      <w:p>
        <w:pPr>
          <w:pStyle w:val="Rodap"/>
          <w:rPr>
            <w:rFonts w:ascii="Arial" w:hAnsi="Arial" w:cs="Arial"/>
            <w:sz w:val="14"/>
            <w:szCs w:val="14"/>
          </w:rPr>
        </w:pPr>
        <w:r>
          <w:rPr>
            <w:rFonts w:cs="Arial" w:ascii="Arial" w:hAnsi="Arial"/>
            <w:sz w:val="14"/>
            <w:szCs w:val="14"/>
          </w:rPr>
          <w:t>Termo de contrato modelo para Pregão Eletrônico - Serviços - Lei n.º 14.133, de 2021.</w:t>
        </w:r>
      </w:p>
      <w:p>
        <w:pPr>
          <w:pStyle w:val="Rodap"/>
          <w:rPr>
            <w:rFonts w:ascii="Arial" w:hAnsi="Arial" w:cs="Arial"/>
            <w:sz w:val="14"/>
            <w:szCs w:val="14"/>
          </w:rPr>
        </w:pPr>
        <w:r>
          <w:rPr>
            <w:rFonts w:cs="Arial" w:ascii="Arial" w:hAnsi="Arial"/>
            <w:sz w:val="14"/>
            <w:szCs w:val="14"/>
          </w:rPr>
          <w:t>Aprovado pela Secretaria de Gestão.</w:t>
        </w:r>
      </w:p>
      <w:p>
        <w:pPr>
          <w:pStyle w:val="Rodap"/>
          <w:rPr>
            <w:rFonts w:ascii="Arial" w:hAnsi="Arial" w:cs="Arial"/>
          </w:rPr>
        </w:pPr>
        <w:r>
          <w:rPr>
            <w:rFonts w:cs="Arial" w:ascii="Arial" w:hAnsi="Arial"/>
            <w:sz w:val="14"/>
            <w:szCs w:val="14"/>
          </w:rPr>
          <w:t>Identidade visual pela Secretaria de Gestão (versão dezembro/2022)</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XX/XXXX</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3"/>
    <w:lvlOverride w:ilvl="0">
      <w:startOverride w:val="1"/>
    </w:lvlOverride>
  </w:num>
  <w:num w:numId="1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2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3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4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5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6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7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8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9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0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1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2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2">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3">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4">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5">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6">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7">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8">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39">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40">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 w:numId="141">
    <w:abstractNumId w:val="3"/>
    <w:lvlOverride w:ilvl="1">
      <w:lvl w:ilvl="1">
        <w:start w:val="1"/>
        <w:numFmt w:val="decimal"/>
        <w:lvlText w:val="%1.%2."/>
        <w:lvlJc w:val="left"/>
        <w:pPr>
          <w:tabs>
            <w:tab w:val="num" w:pos="0"/>
          </w:tabs>
          <w:ind w:left="4969" w:hanging="432"/>
        </w:pPr>
        <w:rPr>
          <w:dstrike w:val="false"/>
          <w:strike w:val="false"/>
          <w:sz w:val="20"/>
          <w:i w:val="false"/>
          <w:u w:val="none"/>
          <w:b/>
          <w:szCs w:val="20"/>
          <w:color w:val="auto"/>
        </w:rPr>
      </w:lvl>
    </w:lvlOverride>
    <w:lvlOverride w:ilvl="2">
      <w:lvl w:ilvl="2">
        <w:start w:val="1"/>
        <w:numFmt w:val="decimal"/>
        <w:lvlText w:val="%1.%2.%3."/>
        <w:lvlJc w:val="left"/>
        <w:pPr>
          <w:tabs>
            <w:tab w:val="num" w:pos="0"/>
          </w:tabs>
          <w:ind w:left="3198" w:hanging="504"/>
        </w:pPr>
        <w:rPr>
          <w:dstrike w:val="false"/>
          <w:strike w:val="false"/>
          <w:sz w:val="20"/>
          <w:i w:val="false"/>
          <w:b/>
          <w:szCs w:val="20"/>
          <w:rFonts w:ascii="Arial" w:hAnsi="Arial" w:cs="Arial"/>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UnresolvedMention">
    <w:name w:val="Unresolved Mention"/>
    <w:basedOn w:val="DefaultParagraphFont"/>
    <w:uiPriority w:val="99"/>
    <w:semiHidden/>
    <w:unhideWhenUsed/>
    <w:qFormat/>
    <w:rsid w:val="00e27aeb"/>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7136d9"/>
    <w:pPr>
      <w:tabs>
        <w:tab w:val="clear" w:pos="708"/>
        <w:tab w:val="left" w:pos="567" w:leader="none"/>
      </w:tabs>
      <w:spacing w:before="240" w:after="0"/>
      <w:jc w:val="both"/>
      <w:outlineLvl w:val="9"/>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outlineLvl w:val="9"/>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681f9b"/>
    <w:pPr>
      <w:numPr>
        <w:ilvl w:val="0"/>
        <w:numId w:val="1"/>
      </w:numPr>
      <w:spacing w:lineRule="auto" w:line="276" w:before="120" w:after="12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7b1e53"/>
    <w:pPr>
      <w:numPr>
        <w:ilvl w:val="0"/>
        <w:numId w:val="1"/>
      </w:numPr>
      <w:spacing w:lineRule="auto" w:line="276" w:before="120" w:after="120"/>
      <w:ind w:left="425" w:hanging="0"/>
      <w:jc w:val="both"/>
    </w:pPr>
    <w:rPr>
      <w:rFonts w:ascii="Arial" w:hAnsi="Arial" w:cs="Arial"/>
      <w:color w:val="000000"/>
      <w:sz w:val="20"/>
      <w:szCs w:val="20"/>
    </w:rPr>
  </w:style>
  <w:style w:type="paragraph" w:styleId="Nivel4" w:customStyle="1">
    <w:name w:val="Nivel 4"/>
    <w:basedOn w:val="Nivel3"/>
    <w:link w:val="Nivel4Char"/>
    <w:qFormat/>
    <w:rsid w:val="007b1e53"/>
    <w:pPr>
      <w:ind w:left="851"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s://www.gov.br/compras/pt-br/acesso-a-informacao/legislacao/instrucoes-normativas/instrucao-normativa-seges-me-no-26-de-13-de-abril-de-2022"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078compilado.htm"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998E4159-1A97-4F80-B42C-7F8E31508B2B}">
  <ds:schemaRefs>
    <ds:schemaRef ds:uri="http://schemas.microsoft.com/sharepoint/v3/contenttype/forms"/>
  </ds:schemaRefs>
</ds:datastoreItem>
</file>

<file path=customXml/itemProps2.xml><?xml version="1.0" encoding="utf-8"?>
<ds:datastoreItem xmlns:ds="http://schemas.openxmlformats.org/officeDocument/2006/customXml" ds:itemID="{EA320E67-7F18-415B-885F-D6F25ACD3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purl.org/dc/dcmitype/"/>
    <ds:schemaRef ds:uri="http://purl.org/dc/terms/"/>
    <ds:schemaRef ds:uri="http://schemas.microsoft.com/office/infopath/2007/PartnerControls"/>
    <ds:schemaRef ds:uri="feb27506-d0cb-4764-903f-1304ed79efc7"/>
    <ds:schemaRef ds:uri="http://schemas.microsoft.com/office/2006/documentManagement/types"/>
    <ds:schemaRef ds:uri="http://schemas.openxmlformats.org/package/2006/metadata/core-properties"/>
    <ds:schemaRef ds:uri="http://purl.org/dc/elements/1.1/"/>
    <ds:schemaRef ds:uri="8ce77f6a-f1fb-45c7-a4e1-13af6ce189a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73</TotalTime>
  <Application>LibreOffice/7.2.5.2$Windows_X86_64 LibreOffice_project/499f9727c189e6ef3471021d6132d4c694f357e5</Application>
  <AppVersion>15.0000</AppVersion>
  <Pages>14</Pages>
  <Words>4606</Words>
  <Characters>25974</Characters>
  <CharactersWithSpaces>30280</CharactersWithSpaces>
  <Paragraphs>199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2022-12-21T15:49:00Z</dcterms:created>
  <dc:creator/>
  <dc:description/>
  <dc:language>pt-BR</dc:language>
  <cp:lastModifiedBy/>
  <dcterms:modified xsi:type="dcterms:W3CDTF">2023-05-12T10:44:22Z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